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2"/>
        <w:tblpPr w:leftFromText="180" w:rightFromText="180" w:vertAnchor="page" w:horzAnchor="page" w:tblpX="999" w:tblpY="1130"/>
        <w:tblOverlap w:val="never"/>
        <w:tblW w:w="5000" w:type="pct"/>
        <w:tblInd w:w="0" w:type="dxa"/>
        <w:tblLayout w:type="autofit"/>
        <w:tblCellMar>
          <w:top w:w="0" w:type="dxa"/>
          <w:left w:w="108" w:type="dxa"/>
          <w:bottom w:w="0" w:type="dxa"/>
          <w:right w:w="108" w:type="dxa"/>
        </w:tblCellMar>
      </w:tblPr>
      <w:tblGrid>
        <w:gridCol w:w="10082"/>
      </w:tblGrid>
      <w:tr w14:paraId="7C258BF6">
        <w:tblPrEx>
          <w:tblCellMar>
            <w:top w:w="0" w:type="dxa"/>
            <w:left w:w="108" w:type="dxa"/>
            <w:bottom w:w="0" w:type="dxa"/>
            <w:right w:w="108" w:type="dxa"/>
          </w:tblCellMar>
        </w:tblPrEx>
        <w:trPr>
          <w:trHeight w:val="2880" w:hRule="atLeast"/>
        </w:trPr>
        <w:tc>
          <w:tcPr>
            <w:tcW w:w="5000" w:type="pct"/>
          </w:tcPr>
          <w:p w14:paraId="7255CB66">
            <w:pPr>
              <w:pStyle w:val="73"/>
              <w:jc w:val="center"/>
              <w:rPr>
                <w:rFonts w:ascii="Times New Roman" w:hAnsi="Times New Roman" w:eastAsia="方正粗宋_GBK" w:cs="Times New Roman"/>
                <w:sz w:val="32"/>
                <w:szCs w:val="32"/>
              </w:rPr>
            </w:pPr>
            <w:r>
              <w:rPr>
                <w:rFonts w:hint="eastAsia" w:ascii="方正粗宋_GBK" w:hAnsi="黑体" w:eastAsia="方正粗宋_GBK"/>
                <w:sz w:val="36"/>
                <w:szCs w:val="36"/>
              </w:rPr>
              <w:t>标普国际认证（深圳）有限责任公司</w:t>
            </w:r>
            <w:sdt>
              <w:sdtPr>
                <w:rPr>
                  <w:rFonts w:ascii="Times New Roman" w:hAnsi="Times New Roman" w:eastAsia="方正粗宋_GBK" w:cs="Times New Roman"/>
                  <w:sz w:val="36"/>
                  <w:szCs w:val="36"/>
                </w:rPr>
                <w:alias w:val="公司"/>
                <w:id w:val="15524243"/>
                <w:dataBinding w:prefixMappings="xmlns:ns0='http://schemas.openxmlformats.org/officeDocument/2006/extended-properties'" w:xpath="/ns0:Properties[1]/ns0:Company[1]" w:storeItemID="{6668398D-A668-4E3E-A5EB-62B293D839F1}"/>
                <w:text/>
              </w:sdtPr>
              <w:sdtEndPr>
                <w:rPr>
                  <w:rFonts w:ascii="Times New Roman" w:hAnsi="Times New Roman" w:eastAsia="方正粗宋_GBK" w:cs="Times New Roman"/>
                  <w:sz w:val="36"/>
                  <w:szCs w:val="36"/>
                </w:rPr>
              </w:sdtEndPr>
              <w:sdtContent>
                <w:r>
                  <w:rPr>
                    <w:rFonts w:hint="eastAsia" w:ascii="Times New Roman" w:hAnsi="Times New Roman" w:eastAsia="方正粗宋_GBK" w:cs="Times New Roman"/>
                    <w:sz w:val="36"/>
                    <w:szCs w:val="36"/>
                  </w:rPr>
                  <w:t xml:space="preserve">                       S &amp; P International Certification (Shenzhen) Co., LTD</w:t>
                </w:r>
              </w:sdtContent>
            </w:sdt>
          </w:p>
          <w:p w14:paraId="24C62BDE">
            <w:pPr>
              <w:tabs>
                <w:tab w:val="left" w:pos="6407"/>
              </w:tabs>
              <w:jc w:val="center"/>
              <w:rPr>
                <w:lang w:eastAsia="zh-CN"/>
              </w:rPr>
            </w:pPr>
            <w:r>
              <w:rPr>
                <w:lang w:eastAsia="zh-CN" w:bidi="ar-SA"/>
              </w:rPr>
              <w:drawing>
                <wp:inline distT="0" distB="0" distL="0" distR="0">
                  <wp:extent cx="2369185" cy="1668780"/>
                  <wp:effectExtent l="19050" t="0" r="0" b="0"/>
                  <wp:docPr id="5" name="图片 2" descr="F:\01 各认证机构资料\06 标普认证\证书\胡国明发来样板\S&am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F:\01 各认证机构资料\06 标普认证\证书\胡国明发来样板\S&amp;P.jpg"/>
                          <pic:cNvPicPr>
                            <a:picLocks noChangeAspect="1" noChangeArrowheads="1"/>
                          </pic:cNvPicPr>
                        </pic:nvPicPr>
                        <pic:blipFill>
                          <a:blip r:embed="rId8"/>
                          <a:srcRect/>
                          <a:stretch>
                            <a:fillRect/>
                          </a:stretch>
                        </pic:blipFill>
                        <pic:spPr>
                          <a:xfrm>
                            <a:off x="0" y="0"/>
                            <a:ext cx="2373027" cy="1671838"/>
                          </a:xfrm>
                          <a:prstGeom prst="rect">
                            <a:avLst/>
                          </a:prstGeom>
                          <a:noFill/>
                          <a:ln w="9525">
                            <a:noFill/>
                            <a:miter lim="800000"/>
                            <a:headEnd/>
                            <a:tailEnd/>
                          </a:ln>
                        </pic:spPr>
                      </pic:pic>
                    </a:graphicData>
                  </a:graphic>
                </wp:inline>
              </w:drawing>
            </w:r>
          </w:p>
          <w:p w14:paraId="6856E343">
            <w:pPr>
              <w:tabs>
                <w:tab w:val="left" w:pos="6407"/>
              </w:tabs>
              <w:rPr>
                <w:lang w:eastAsia="zh-CN"/>
              </w:rPr>
            </w:pPr>
          </w:p>
          <w:p w14:paraId="53650268">
            <w:pPr>
              <w:tabs>
                <w:tab w:val="left" w:pos="6407"/>
              </w:tabs>
              <w:rPr>
                <w:lang w:eastAsia="zh-CN"/>
              </w:rPr>
            </w:pPr>
          </w:p>
        </w:tc>
      </w:tr>
      <w:tr w14:paraId="63C9CA14">
        <w:tblPrEx>
          <w:tblCellMar>
            <w:top w:w="0" w:type="dxa"/>
            <w:left w:w="108" w:type="dxa"/>
            <w:bottom w:w="0" w:type="dxa"/>
            <w:right w:w="108" w:type="dxa"/>
          </w:tblCellMar>
        </w:tblPrEx>
        <w:trPr>
          <w:trHeight w:val="1440" w:hRule="atLeast"/>
        </w:trPr>
        <w:sdt>
          <w:sdtPr>
            <w:rPr>
              <w:rFonts w:hint="eastAsia" w:ascii="黑体" w:hAnsi="黑体" w:eastAsia="黑体"/>
              <w:color w:val="000000" w:themeColor="text1"/>
              <w:sz w:val="36"/>
              <w:szCs w:val="36"/>
              <w:lang w:eastAsia="zh-CN"/>
            </w:rPr>
            <w:alias w:val="标题"/>
            <w:id w:val="15524250"/>
            <w:dataBinding w:prefixMappings="xmlns:ns0='http://schemas.openxmlformats.org/package/2006/metadata/core-properties' xmlns:ns1='http://purl.org/dc/elements/1.1/'" w:xpath="/ns0:coreProperties[1]/ns1:title[1]" w:storeItemID="{6C3C8BC8-F283-45AE-878A-BAB7291924A1}"/>
            <w:text/>
          </w:sdtPr>
          <w:sdtEndPr>
            <w:rPr>
              <w:rFonts w:hint="eastAsia" w:ascii="黑体" w:hAnsi="黑体" w:eastAsia="黑体"/>
              <w:color w:val="000000" w:themeColor="text1"/>
              <w:sz w:val="36"/>
              <w:szCs w:val="36"/>
              <w:lang w:eastAsia="zh-CN"/>
            </w:rPr>
          </w:sdtEndPr>
          <w:sdtContent>
            <w:tc>
              <w:tcPr>
                <w:tcW w:w="5000" w:type="pct"/>
                <w:tcBorders>
                  <w:bottom w:val="single" w:color="4F81BD" w:themeColor="accent1" w:sz="4" w:space="0"/>
                </w:tcBorders>
                <w:vAlign w:val="center"/>
              </w:tcPr>
              <w:p w14:paraId="02CAA2D5">
                <w:pPr>
                  <w:pStyle w:val="68"/>
                  <w:jc w:val="center"/>
                  <w:rPr>
                    <w:rFonts w:ascii="黑体" w:hAnsi="黑体" w:eastAsia="黑体" w:cstheme="majorBidi"/>
                    <w:sz w:val="36"/>
                    <w:szCs w:val="36"/>
                    <w:lang w:eastAsia="zh-CN"/>
                  </w:rPr>
                </w:pPr>
                <w:r>
                  <w:rPr>
                    <w:rFonts w:hint="eastAsia" w:ascii="黑体" w:hAnsi="黑体" w:eastAsia="黑体"/>
                    <w:color w:val="000000" w:themeColor="text1"/>
                    <w:sz w:val="36"/>
                    <w:szCs w:val="36"/>
                    <w:lang w:eastAsia="zh-CN"/>
                  </w:rPr>
                  <w:t>企业诚信</w:t>
                </w:r>
                <w:r>
                  <w:rPr>
                    <w:rFonts w:hint="eastAsia" w:ascii="黑体" w:hAnsi="黑体" w:eastAsia="黑体"/>
                    <w:sz w:val="36"/>
                    <w:szCs w:val="36"/>
                    <w:lang w:eastAsia="zh-CN"/>
                  </w:rPr>
                  <w:t>管理体系认证实施规则</w:t>
                </w:r>
              </w:p>
            </w:tc>
          </w:sdtContent>
        </w:sdt>
      </w:tr>
      <w:tr w14:paraId="659BBEBD">
        <w:tblPrEx>
          <w:tblCellMar>
            <w:top w:w="0" w:type="dxa"/>
            <w:left w:w="108" w:type="dxa"/>
            <w:bottom w:w="0" w:type="dxa"/>
            <w:right w:w="108" w:type="dxa"/>
          </w:tblCellMar>
        </w:tblPrEx>
        <w:trPr>
          <w:trHeight w:val="720" w:hRule="atLeast"/>
        </w:trPr>
        <w:sdt>
          <w:sdtPr>
            <w:rPr>
              <w:rFonts w:ascii="Times New Roman" w:hAnsi="Times New Roman" w:eastAsia="黑体" w:cs="Times New Roman"/>
              <w:sz w:val="28"/>
              <w:szCs w:val="28"/>
            </w:rPr>
            <w:alias w:val="副标题"/>
            <w:id w:val="15524255"/>
            <w:dataBinding w:prefixMappings="xmlns:ns0='http://schemas.openxmlformats.org/package/2006/metadata/core-properties' xmlns:ns1='http://purl.org/dc/elements/1.1/'" w:xpath="/ns0:coreProperties[1]/ns1:subject[1]" w:storeItemID="{6C3C8BC8-F283-45AE-878A-BAB7291924A1}"/>
            <w:text/>
          </w:sdtPr>
          <w:sdtEndPr>
            <w:rPr>
              <w:rFonts w:ascii="Times New Roman" w:hAnsi="Times New Roman" w:eastAsia="黑体" w:cs="Times New Roman"/>
              <w:sz w:val="28"/>
              <w:szCs w:val="28"/>
            </w:rPr>
          </w:sdtEndPr>
          <w:sdtContent>
            <w:tc>
              <w:tcPr>
                <w:tcW w:w="5000" w:type="pct"/>
                <w:tcBorders>
                  <w:top w:val="single" w:color="4F81BD" w:themeColor="accent1" w:sz="4" w:space="0"/>
                </w:tcBorders>
                <w:vAlign w:val="center"/>
              </w:tcPr>
              <w:p w14:paraId="0A76D79F">
                <w:pPr>
                  <w:pStyle w:val="68"/>
                  <w:jc w:val="center"/>
                  <w:rPr>
                    <w:rFonts w:ascii="黑体" w:hAnsi="黑体" w:eastAsia="黑体" w:cstheme="majorBidi"/>
                    <w:sz w:val="44"/>
                    <w:szCs w:val="44"/>
                  </w:rPr>
                </w:pPr>
                <w:r>
                  <w:rPr>
                    <w:rFonts w:hint="eastAsia" w:ascii="Times New Roman" w:hAnsi="Times New Roman" w:eastAsia="黑体" w:cs="Times New Roman"/>
                    <w:sz w:val="28"/>
                    <w:szCs w:val="28"/>
                    <w:lang w:eastAsia="zh-CN"/>
                  </w:rPr>
                  <w:t>S&amp;P-XZ-45-2023</w:t>
                </w:r>
              </w:p>
            </w:tc>
          </w:sdtContent>
        </w:sdt>
      </w:tr>
      <w:tr w14:paraId="15916287">
        <w:tblPrEx>
          <w:tblCellMar>
            <w:top w:w="0" w:type="dxa"/>
            <w:left w:w="108" w:type="dxa"/>
            <w:bottom w:w="0" w:type="dxa"/>
            <w:right w:w="108" w:type="dxa"/>
          </w:tblCellMar>
        </w:tblPrEx>
        <w:trPr>
          <w:trHeight w:val="360" w:hRule="atLeast"/>
        </w:trPr>
        <w:tc>
          <w:tcPr>
            <w:tcW w:w="5000" w:type="pct"/>
            <w:vAlign w:val="center"/>
          </w:tcPr>
          <w:p w14:paraId="2018AD8A">
            <w:pPr>
              <w:pStyle w:val="68"/>
              <w:jc w:val="center"/>
            </w:pPr>
          </w:p>
        </w:tc>
      </w:tr>
      <w:tr w14:paraId="0CBA4C3A">
        <w:tblPrEx>
          <w:tblCellMar>
            <w:top w:w="0" w:type="dxa"/>
            <w:left w:w="108" w:type="dxa"/>
            <w:bottom w:w="0" w:type="dxa"/>
            <w:right w:w="108" w:type="dxa"/>
          </w:tblCellMar>
        </w:tblPrEx>
        <w:trPr>
          <w:trHeight w:val="360" w:hRule="atLeast"/>
        </w:trPr>
        <w:tc>
          <w:tcPr>
            <w:tcW w:w="5000" w:type="pct"/>
            <w:vAlign w:val="center"/>
          </w:tcPr>
          <w:p w14:paraId="3E0E04DF">
            <w:pPr>
              <w:pStyle w:val="68"/>
              <w:jc w:val="center"/>
              <w:rPr>
                <w:b/>
                <w:bCs/>
              </w:rPr>
            </w:pPr>
          </w:p>
        </w:tc>
      </w:tr>
      <w:tr w14:paraId="3284251F">
        <w:tblPrEx>
          <w:tblCellMar>
            <w:top w:w="0" w:type="dxa"/>
            <w:left w:w="108" w:type="dxa"/>
            <w:bottom w:w="0" w:type="dxa"/>
            <w:right w:w="108" w:type="dxa"/>
          </w:tblCellMar>
        </w:tblPrEx>
        <w:trPr>
          <w:trHeight w:val="360" w:hRule="atLeast"/>
        </w:trPr>
        <w:tc>
          <w:tcPr>
            <w:tcW w:w="5000" w:type="pct"/>
            <w:vAlign w:val="center"/>
          </w:tcPr>
          <w:tbl>
            <w:tblPr>
              <w:tblStyle w:val="3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214"/>
              <w:gridCol w:w="2215"/>
            </w:tblGrid>
            <w:tr w14:paraId="3BFAB3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336" w:hRule="atLeast"/>
                <w:jc w:val="center"/>
              </w:trPr>
              <w:tc>
                <w:tcPr>
                  <w:tcW w:w="2214" w:type="dxa"/>
                </w:tcPr>
                <w:p w14:paraId="2FE5B49B">
                  <w:pPr>
                    <w:pStyle w:val="68"/>
                    <w:jc w:val="center"/>
                    <w:rPr>
                      <w:b/>
                      <w:bCs/>
                      <w:sz w:val="28"/>
                      <w:szCs w:val="28"/>
                    </w:rPr>
                  </w:pPr>
                  <w:r>
                    <w:rPr>
                      <w:b/>
                      <w:bCs/>
                      <w:sz w:val="28"/>
                      <w:szCs w:val="28"/>
                    </w:rPr>
                    <w:t>受控状态</w:t>
                  </w:r>
                </w:p>
              </w:tc>
              <w:tc>
                <w:tcPr>
                  <w:tcW w:w="2215" w:type="dxa"/>
                </w:tcPr>
                <w:p w14:paraId="013BC3E7">
                  <w:pPr>
                    <w:pStyle w:val="68"/>
                    <w:jc w:val="center"/>
                    <w:rPr>
                      <w:b/>
                      <w:bCs/>
                      <w:sz w:val="28"/>
                      <w:szCs w:val="28"/>
                    </w:rPr>
                  </w:pPr>
                  <w:r>
                    <w:rPr>
                      <w:rFonts w:ascii="宋体" w:cs="宋体"/>
                      <w:b/>
                      <w:sz w:val="28"/>
                      <w:szCs w:val="28"/>
                      <w:lang w:eastAsia="zh-CN" w:bidi="ar-SA"/>
                    </w:rPr>
                    <w:drawing>
                      <wp:inline distT="0" distB="0" distL="114300" distR="114300">
                        <wp:extent cx="561975" cy="3619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61975" cy="361950"/>
                                </a:xfrm>
                                <a:prstGeom prst="rect">
                                  <a:avLst/>
                                </a:prstGeom>
                                <a:noFill/>
                                <a:ln>
                                  <a:noFill/>
                                </a:ln>
                              </pic:spPr>
                            </pic:pic>
                          </a:graphicData>
                        </a:graphic>
                      </wp:inline>
                    </w:drawing>
                  </w:r>
                </w:p>
              </w:tc>
            </w:tr>
            <w:tr w14:paraId="77163D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6" w:hRule="atLeast"/>
                <w:jc w:val="center"/>
              </w:trPr>
              <w:tc>
                <w:tcPr>
                  <w:tcW w:w="2214" w:type="dxa"/>
                </w:tcPr>
                <w:p w14:paraId="59DF2B54">
                  <w:pPr>
                    <w:pStyle w:val="68"/>
                    <w:jc w:val="center"/>
                    <w:rPr>
                      <w:b/>
                      <w:bCs/>
                      <w:sz w:val="28"/>
                      <w:szCs w:val="28"/>
                    </w:rPr>
                  </w:pPr>
                  <w:r>
                    <w:rPr>
                      <w:b/>
                      <w:bCs/>
                      <w:sz w:val="28"/>
                      <w:szCs w:val="28"/>
                    </w:rPr>
                    <w:t>版本</w:t>
                  </w:r>
                </w:p>
              </w:tc>
              <w:tc>
                <w:tcPr>
                  <w:tcW w:w="2215" w:type="dxa"/>
                </w:tcPr>
                <w:p w14:paraId="4F47C8E8">
                  <w:pPr>
                    <w:pStyle w:val="68"/>
                    <w:spacing w:line="360" w:lineRule="auto"/>
                    <w:jc w:val="center"/>
                    <w:rPr>
                      <w:rFonts w:ascii="Times New Roman" w:hAnsi="Times New Roman" w:cs="Times New Roman"/>
                      <w:b/>
                      <w:bCs/>
                      <w:sz w:val="28"/>
                      <w:szCs w:val="28"/>
                      <w:lang w:eastAsia="zh-CN"/>
                    </w:rPr>
                  </w:pPr>
                  <w:r>
                    <w:rPr>
                      <w:rFonts w:ascii="Times New Roman" w:hAnsi="Times New Roman" w:cs="Times New Roman"/>
                      <w:b/>
                      <w:bCs/>
                      <w:sz w:val="28"/>
                      <w:szCs w:val="28"/>
                      <w:lang w:eastAsia="zh-CN"/>
                    </w:rPr>
                    <w:t>C/0</w:t>
                  </w:r>
                </w:p>
              </w:tc>
            </w:tr>
          </w:tbl>
          <w:p w14:paraId="3B5A244E">
            <w:pPr>
              <w:pStyle w:val="68"/>
              <w:jc w:val="center"/>
              <w:rPr>
                <w:b/>
                <w:bCs/>
              </w:rPr>
            </w:pPr>
          </w:p>
        </w:tc>
      </w:tr>
    </w:tbl>
    <w:p w14:paraId="390766A9">
      <w:pPr>
        <w:rPr>
          <w:lang w:eastAsia="zh-CN"/>
        </w:rPr>
      </w:pPr>
    </w:p>
    <w:p w14:paraId="23D10C5F">
      <w:pPr>
        <w:rPr>
          <w:lang w:eastAsia="zh-CN"/>
        </w:rPr>
      </w:pPr>
    </w:p>
    <w:tbl>
      <w:tblPr>
        <w:tblStyle w:val="3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82"/>
        <w:gridCol w:w="1882"/>
        <w:gridCol w:w="1883"/>
        <w:gridCol w:w="2718"/>
      </w:tblGrid>
      <w:tr w14:paraId="02548DC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88" w:hRule="atLeast"/>
          <w:jc w:val="center"/>
        </w:trPr>
        <w:tc>
          <w:tcPr>
            <w:tcW w:w="1882" w:type="dxa"/>
            <w:vAlign w:val="center"/>
          </w:tcPr>
          <w:p w14:paraId="3869C6A5">
            <w:pPr>
              <w:pStyle w:val="68"/>
              <w:jc w:val="center"/>
              <w:rPr>
                <w:bCs/>
                <w:sz w:val="24"/>
                <w:szCs w:val="24"/>
              </w:rPr>
            </w:pPr>
            <w:r>
              <w:rPr>
                <w:bCs/>
                <w:sz w:val="24"/>
                <w:szCs w:val="24"/>
              </w:rPr>
              <w:t>编制</w:t>
            </w:r>
          </w:p>
        </w:tc>
        <w:tc>
          <w:tcPr>
            <w:tcW w:w="1882" w:type="dxa"/>
            <w:tcBorders>
              <w:right w:val="single" w:color="auto" w:sz="4" w:space="0"/>
            </w:tcBorders>
            <w:vAlign w:val="center"/>
          </w:tcPr>
          <w:p w14:paraId="46C02C40">
            <w:pPr>
              <w:pStyle w:val="68"/>
              <w:jc w:val="center"/>
              <w:rPr>
                <w:bCs/>
                <w:sz w:val="24"/>
                <w:szCs w:val="24"/>
              </w:rPr>
            </w:pPr>
            <w:r>
              <w:rPr>
                <w:bCs/>
                <w:sz w:val="24"/>
                <w:szCs w:val="24"/>
              </w:rPr>
              <w:t>审核</w:t>
            </w:r>
          </w:p>
        </w:tc>
        <w:tc>
          <w:tcPr>
            <w:tcW w:w="1883" w:type="dxa"/>
            <w:tcBorders>
              <w:left w:val="single" w:color="auto" w:sz="4" w:space="0"/>
              <w:right w:val="single" w:color="auto" w:sz="4" w:space="0"/>
            </w:tcBorders>
            <w:vAlign w:val="center"/>
          </w:tcPr>
          <w:p w14:paraId="6D3B360A">
            <w:pPr>
              <w:pStyle w:val="68"/>
              <w:jc w:val="center"/>
              <w:rPr>
                <w:bCs/>
                <w:sz w:val="24"/>
                <w:szCs w:val="24"/>
              </w:rPr>
            </w:pPr>
            <w:r>
              <w:rPr>
                <w:bCs/>
                <w:sz w:val="24"/>
                <w:szCs w:val="24"/>
              </w:rPr>
              <w:t>批准</w:t>
            </w:r>
          </w:p>
        </w:tc>
        <w:tc>
          <w:tcPr>
            <w:tcW w:w="2718" w:type="dxa"/>
            <w:tcBorders>
              <w:left w:val="single" w:color="auto" w:sz="4" w:space="0"/>
            </w:tcBorders>
            <w:vAlign w:val="center"/>
          </w:tcPr>
          <w:p w14:paraId="6FE8A174">
            <w:pPr>
              <w:pStyle w:val="68"/>
              <w:jc w:val="center"/>
              <w:rPr>
                <w:bCs/>
                <w:sz w:val="24"/>
                <w:szCs w:val="24"/>
              </w:rPr>
            </w:pPr>
            <w:r>
              <w:rPr>
                <w:bCs/>
                <w:sz w:val="24"/>
                <w:szCs w:val="24"/>
              </w:rPr>
              <w:t>日期</w:t>
            </w:r>
          </w:p>
        </w:tc>
      </w:tr>
      <w:tr w14:paraId="4FFE00A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5" w:hRule="atLeast"/>
          <w:jc w:val="center"/>
        </w:trPr>
        <w:tc>
          <w:tcPr>
            <w:tcW w:w="1882" w:type="dxa"/>
            <w:vAlign w:val="center"/>
          </w:tcPr>
          <w:p w14:paraId="31A85BCA">
            <w:pPr>
              <w:pStyle w:val="68"/>
              <w:jc w:val="center"/>
              <w:rPr>
                <w:rFonts w:asciiTheme="minorEastAsia" w:hAnsiTheme="minorEastAsia"/>
                <w:bCs/>
                <w:sz w:val="24"/>
                <w:szCs w:val="24"/>
              </w:rPr>
            </w:pPr>
            <w:r>
              <w:rPr>
                <w:rFonts w:asciiTheme="minorEastAsia" w:hAnsiTheme="minorEastAsia"/>
                <w:bCs/>
                <w:sz w:val="24"/>
                <w:szCs w:val="24"/>
              </w:rPr>
              <w:t>技术部</w:t>
            </w:r>
          </w:p>
        </w:tc>
        <w:tc>
          <w:tcPr>
            <w:tcW w:w="1882" w:type="dxa"/>
            <w:tcBorders>
              <w:right w:val="single" w:color="auto" w:sz="4" w:space="0"/>
            </w:tcBorders>
            <w:vAlign w:val="center"/>
          </w:tcPr>
          <w:p w14:paraId="4D617D02">
            <w:pPr>
              <w:pStyle w:val="68"/>
              <w:jc w:val="center"/>
              <w:rPr>
                <w:rFonts w:asciiTheme="minorEastAsia" w:hAnsiTheme="minorEastAsia"/>
                <w:bCs/>
                <w:sz w:val="24"/>
                <w:szCs w:val="24"/>
                <w:lang w:eastAsia="zh-CN"/>
              </w:rPr>
            </w:pPr>
            <w:r>
              <w:rPr>
                <w:rFonts w:hint="eastAsia" w:asciiTheme="minorEastAsia" w:hAnsiTheme="minorEastAsia"/>
                <w:bCs/>
                <w:sz w:val="24"/>
                <w:szCs w:val="24"/>
                <w:lang w:eastAsia="zh-CN"/>
              </w:rPr>
              <w:t>刘顺桥</w:t>
            </w:r>
          </w:p>
        </w:tc>
        <w:tc>
          <w:tcPr>
            <w:tcW w:w="1883" w:type="dxa"/>
            <w:tcBorders>
              <w:left w:val="single" w:color="auto" w:sz="4" w:space="0"/>
              <w:right w:val="single" w:color="auto" w:sz="4" w:space="0"/>
            </w:tcBorders>
            <w:vAlign w:val="center"/>
          </w:tcPr>
          <w:p w14:paraId="7DB5B4C0">
            <w:pPr>
              <w:pStyle w:val="68"/>
              <w:jc w:val="center"/>
              <w:rPr>
                <w:rFonts w:asciiTheme="minorEastAsia" w:hAnsiTheme="minorEastAsia"/>
                <w:bCs/>
                <w:sz w:val="24"/>
                <w:szCs w:val="24"/>
                <w:lang w:eastAsia="zh-CN"/>
              </w:rPr>
            </w:pPr>
            <w:r>
              <w:rPr>
                <w:rFonts w:hint="eastAsia" w:asciiTheme="minorEastAsia" w:hAnsiTheme="minorEastAsia"/>
                <w:bCs/>
                <w:sz w:val="24"/>
                <w:szCs w:val="24"/>
                <w:lang w:eastAsia="zh-CN"/>
              </w:rPr>
              <w:t>罗维</w:t>
            </w:r>
          </w:p>
        </w:tc>
        <w:tc>
          <w:tcPr>
            <w:tcW w:w="2718" w:type="dxa"/>
            <w:tcBorders>
              <w:left w:val="single" w:color="auto" w:sz="4" w:space="0"/>
            </w:tcBorders>
            <w:vAlign w:val="center"/>
          </w:tcPr>
          <w:p w14:paraId="31EFFEB7">
            <w:pPr>
              <w:pStyle w:val="68"/>
              <w:jc w:val="center"/>
              <w:rPr>
                <w:rFonts w:ascii="Times New Roman" w:hAnsi="Times New Roman" w:cs="Times New Roman"/>
                <w:bCs/>
                <w:sz w:val="24"/>
                <w:szCs w:val="24"/>
                <w:lang w:eastAsia="zh-CN"/>
              </w:rPr>
            </w:pPr>
            <w:bookmarkStart w:id="0" w:name="OLE_LINK3"/>
            <w:bookmarkStart w:id="1" w:name="OLE_LINK4"/>
            <w:r>
              <w:rPr>
                <w:rFonts w:ascii="Times New Roman" w:hAnsi="Times New Roman" w:cs="Times New Roman"/>
                <w:bCs/>
                <w:sz w:val="24"/>
                <w:szCs w:val="24"/>
                <w:lang w:eastAsia="zh-CN"/>
              </w:rPr>
              <w:t>202</w:t>
            </w:r>
            <w:r>
              <w:rPr>
                <w:rFonts w:hint="eastAsia" w:ascii="Times New Roman" w:hAnsi="Times New Roman" w:cs="Times New Roman"/>
                <w:bCs/>
                <w:sz w:val="24"/>
                <w:szCs w:val="24"/>
                <w:lang w:eastAsia="zh-CN"/>
              </w:rPr>
              <w:t>6</w:t>
            </w:r>
            <w:r>
              <w:rPr>
                <w:rFonts w:ascii="Times New Roman" w:cs="Times New Roman" w:hAnsiTheme="minorEastAsia"/>
                <w:bCs/>
                <w:sz w:val="24"/>
                <w:szCs w:val="24"/>
                <w:lang w:eastAsia="zh-CN"/>
              </w:rPr>
              <w:t>年</w:t>
            </w:r>
            <w:r>
              <w:rPr>
                <w:rFonts w:ascii="Times New Roman" w:hAnsi="Times New Roman" w:cs="Times New Roman"/>
                <w:bCs/>
                <w:sz w:val="24"/>
                <w:szCs w:val="24"/>
                <w:lang w:eastAsia="zh-CN"/>
              </w:rPr>
              <w:t>0</w:t>
            </w:r>
            <w:r>
              <w:rPr>
                <w:rFonts w:hint="eastAsia" w:ascii="Times New Roman" w:hAnsi="Times New Roman" w:cs="Times New Roman"/>
                <w:bCs/>
                <w:sz w:val="24"/>
                <w:szCs w:val="24"/>
                <w:lang w:eastAsia="zh-CN"/>
              </w:rPr>
              <w:t>4</w:t>
            </w:r>
            <w:r>
              <w:rPr>
                <w:rFonts w:ascii="Times New Roman" w:cs="Times New Roman" w:hAnsiTheme="minorEastAsia"/>
                <w:bCs/>
                <w:sz w:val="24"/>
                <w:szCs w:val="24"/>
                <w:lang w:eastAsia="zh-CN"/>
              </w:rPr>
              <w:t>月</w:t>
            </w:r>
            <w:r>
              <w:rPr>
                <w:rFonts w:hint="eastAsia" w:ascii="Times New Roman" w:hAnsi="Times New Roman" w:cs="Times New Roman"/>
                <w:bCs/>
                <w:sz w:val="24"/>
                <w:szCs w:val="24"/>
                <w:lang w:eastAsia="zh-CN"/>
              </w:rPr>
              <w:t>08</w:t>
            </w:r>
            <w:r>
              <w:rPr>
                <w:rFonts w:ascii="Times New Roman" w:cs="Times New Roman" w:hAnsiTheme="minorEastAsia"/>
                <w:bCs/>
                <w:sz w:val="24"/>
                <w:szCs w:val="24"/>
                <w:lang w:eastAsia="zh-CN"/>
              </w:rPr>
              <w:t>日</w:t>
            </w:r>
            <w:bookmarkEnd w:id="0"/>
            <w:bookmarkEnd w:id="1"/>
          </w:p>
        </w:tc>
      </w:tr>
    </w:tbl>
    <w:tbl>
      <w:tblPr>
        <w:tblStyle w:val="32"/>
        <w:tblpPr w:leftFromText="187" w:rightFromText="187" w:horzAnchor="margin" w:tblpXSpec="center" w:tblpYSpec="bottom"/>
        <w:tblW w:w="5000" w:type="pct"/>
        <w:tblInd w:w="0" w:type="dxa"/>
        <w:tblLayout w:type="autofit"/>
        <w:tblCellMar>
          <w:top w:w="0" w:type="dxa"/>
          <w:left w:w="108" w:type="dxa"/>
          <w:bottom w:w="0" w:type="dxa"/>
          <w:right w:w="108" w:type="dxa"/>
        </w:tblCellMar>
      </w:tblPr>
      <w:tblGrid>
        <w:gridCol w:w="10082"/>
      </w:tblGrid>
      <w:tr w14:paraId="54F75B7A">
        <w:tblPrEx>
          <w:tblCellMar>
            <w:top w:w="0" w:type="dxa"/>
            <w:left w:w="108" w:type="dxa"/>
            <w:bottom w:w="0" w:type="dxa"/>
            <w:right w:w="108" w:type="dxa"/>
          </w:tblCellMar>
        </w:tblPrEx>
        <w:sdt>
          <w:sdtPr>
            <w:rPr>
              <w:rFonts w:ascii="Times New Roman" w:hAnsi="Times New Roman" w:cs="Times New Roman"/>
              <w:bCs/>
              <w:lang w:eastAsia="zh-CN"/>
            </w:rPr>
            <w:alias w:val="摘要"/>
            <w:id w:val="8276291"/>
            <w:dataBinding w:prefixMappings="xmlns:ns0='http://schemas.microsoft.com/office/2006/coverPageProps'" w:xpath="/ns0:CoverPageProperties[1]/ns0:Abstract[1]" w:storeItemID="{55AF091B-3C7A-41E3-B477-F2FDAA23CFDA}"/>
            <w:text/>
          </w:sdtPr>
          <w:sdtEndPr>
            <w:rPr>
              <w:rFonts w:ascii="Times New Roman" w:hAnsi="Times New Roman" w:cs="Times New Roman"/>
              <w:bCs/>
              <w:lang w:eastAsia="zh-CN"/>
            </w:rPr>
          </w:sdtEndPr>
          <w:sdtContent>
            <w:tc>
              <w:tcPr>
                <w:tcW w:w="5000" w:type="pct"/>
              </w:tcPr>
              <w:p w14:paraId="1B5C680A">
                <w:pPr>
                  <w:pStyle w:val="68"/>
                  <w:rPr>
                    <w:lang w:eastAsia="zh-CN"/>
                  </w:rPr>
                </w:pPr>
                <w:r>
                  <w:rPr>
                    <w:rFonts w:hint="eastAsia" w:ascii="Times New Roman" w:hAnsi="Times New Roman" w:cs="Times New Roman"/>
                    <w:bCs/>
                    <w:lang w:eastAsia="zh-CN"/>
                  </w:rPr>
                  <w:t xml:space="preserve">发布日期：2025年03月30日    修改日期：2026年04月08日     实施日期：2025年03月30日   </w:t>
                </w:r>
              </w:p>
            </w:tc>
          </w:sdtContent>
        </w:sdt>
      </w:tr>
    </w:tbl>
    <w:p w14:paraId="73F05A6E">
      <w:pPr>
        <w:jc w:val="both"/>
        <w:rPr>
          <w:lang w:eastAsia="zh-CN"/>
        </w:rPr>
      </w:pPr>
    </w:p>
    <w:p w14:paraId="6D8BF979">
      <w:pPr>
        <w:rPr>
          <w:lang w:eastAsia="zh-CN"/>
        </w:rPr>
      </w:pPr>
    </w:p>
    <w:p w14:paraId="4906A078">
      <w:pPr>
        <w:rPr>
          <w:lang w:eastAsia="zh-CN"/>
        </w:rPr>
      </w:pPr>
      <w:bookmarkStart w:id="32" w:name="_GoBack"/>
      <w:bookmarkEnd w:id="32"/>
    </w:p>
    <w:p w14:paraId="7B99465E">
      <w:pPr>
        <w:jc w:val="both"/>
        <w:rPr>
          <w:rFonts w:asciiTheme="minorEastAsia" w:hAnsiTheme="minorEastAsia"/>
          <w:sz w:val="21"/>
          <w:szCs w:val="21"/>
          <w:lang w:eastAsia="zh-CN"/>
        </w:rPr>
      </w:pPr>
    </w:p>
    <w:sdt>
      <w:sdtPr>
        <w:rPr>
          <w:rFonts w:asciiTheme="minorHAnsi" w:hAnsiTheme="minorHAnsi" w:eastAsiaTheme="minorEastAsia" w:cstheme="minorBidi"/>
          <w:b w:val="0"/>
          <w:bCs w:val="0"/>
          <w:color w:val="auto"/>
          <w:sz w:val="22"/>
          <w:szCs w:val="22"/>
          <w:lang w:val="zh-CN" w:eastAsia="zh-CN"/>
        </w:rPr>
        <w:id w:val="2047639764"/>
        <w:docPartObj>
          <w:docPartGallery w:val="Table of Contents"/>
          <w:docPartUnique/>
        </w:docPartObj>
      </w:sdtPr>
      <w:sdtEndPr>
        <w:rPr>
          <w:rFonts w:asciiTheme="minorHAnsi" w:hAnsiTheme="minorHAnsi" w:eastAsiaTheme="minorEastAsia" w:cstheme="minorBidi"/>
          <w:b w:val="0"/>
          <w:bCs w:val="0"/>
          <w:color w:val="auto"/>
          <w:sz w:val="24"/>
          <w:szCs w:val="24"/>
          <w:lang w:val="zh-CN" w:eastAsia="en-US"/>
        </w:rPr>
      </w:sdtEndPr>
      <w:sdtContent>
        <w:p w14:paraId="7352D8FB">
          <w:pPr>
            <w:pStyle w:val="75"/>
            <w:jc w:val="center"/>
            <w:rPr>
              <w:color w:val="000000" w:themeColor="text1"/>
            </w:rPr>
          </w:pPr>
          <w:r>
            <w:rPr>
              <w:color w:val="000000" w:themeColor="text1"/>
              <w:sz w:val="32"/>
              <w:szCs w:val="32"/>
              <w:lang w:val="zh-CN" w:eastAsia="zh-CN"/>
            </w:rPr>
            <w:t>目录</w:t>
          </w:r>
        </w:p>
        <w:p w14:paraId="26581F25">
          <w:pPr>
            <w:pStyle w:val="23"/>
            <w:tabs>
              <w:tab w:val="right" w:leader="dot" w:pos="9856"/>
            </w:tabs>
            <w:rPr>
              <w:kern w:val="2"/>
              <w:sz w:val="21"/>
              <w:lang w:bidi="ar-SA"/>
            </w:rPr>
          </w:pPr>
          <w:r>
            <w:rPr>
              <w:sz w:val="24"/>
              <w:szCs w:val="24"/>
            </w:rPr>
            <w:fldChar w:fldCharType="begin"/>
          </w:r>
          <w:r>
            <w:rPr>
              <w:sz w:val="24"/>
              <w:szCs w:val="24"/>
            </w:rPr>
            <w:instrText xml:space="preserve"> TOC \o "1-3" \h \z \u </w:instrText>
          </w:r>
          <w:r>
            <w:rPr>
              <w:sz w:val="24"/>
              <w:szCs w:val="24"/>
            </w:rPr>
            <w:fldChar w:fldCharType="separate"/>
          </w:r>
          <w:r>
            <w:fldChar w:fldCharType="begin"/>
          </w:r>
          <w:r>
            <w:instrText xml:space="preserve"> HYPERLINK \l "_Toc227741565" </w:instrText>
          </w:r>
          <w:r>
            <w:fldChar w:fldCharType="separate"/>
          </w:r>
          <w:r>
            <w:rPr>
              <w:rStyle w:val="38"/>
              <w:rFonts w:ascii="Times New Roman" w:hAnsi="Times New Roman" w:cs="Times New Roman"/>
            </w:rPr>
            <w:t xml:space="preserve">1 </w:t>
          </w:r>
          <w:r>
            <w:rPr>
              <w:rStyle w:val="38"/>
              <w:rFonts w:hint="eastAsia" w:ascii="Times New Roman" w:cs="Times New Roman" w:hAnsiTheme="minorEastAsia"/>
            </w:rPr>
            <w:t>适用范围</w:t>
          </w:r>
          <w:r>
            <w:tab/>
          </w:r>
          <w:r>
            <w:fldChar w:fldCharType="begin"/>
          </w:r>
          <w:r>
            <w:instrText xml:space="preserve"> PAGEREF _Toc227741565 \h </w:instrText>
          </w:r>
          <w:r>
            <w:fldChar w:fldCharType="separate"/>
          </w:r>
          <w:r>
            <w:t>3</w:t>
          </w:r>
          <w:r>
            <w:fldChar w:fldCharType="end"/>
          </w:r>
          <w:r>
            <w:fldChar w:fldCharType="end"/>
          </w:r>
        </w:p>
        <w:p w14:paraId="6991C2C2">
          <w:pPr>
            <w:pStyle w:val="23"/>
            <w:tabs>
              <w:tab w:val="right" w:leader="dot" w:pos="9856"/>
            </w:tabs>
            <w:rPr>
              <w:kern w:val="2"/>
              <w:sz w:val="21"/>
              <w:lang w:bidi="ar-SA"/>
            </w:rPr>
          </w:pPr>
          <w:r>
            <w:fldChar w:fldCharType="begin"/>
          </w:r>
          <w:r>
            <w:instrText xml:space="preserve"> HYPERLINK \l "_Toc227741566" </w:instrText>
          </w:r>
          <w:r>
            <w:fldChar w:fldCharType="separate"/>
          </w:r>
          <w:r>
            <w:rPr>
              <w:rStyle w:val="38"/>
              <w:rFonts w:ascii="Times New Roman" w:hAnsi="Times New Roman" w:cs="Times New Roman"/>
            </w:rPr>
            <w:t>2</w:t>
          </w:r>
          <w:r>
            <w:rPr>
              <w:rStyle w:val="38"/>
              <w:rFonts w:hint="eastAsia" w:ascii="Times New Roman" w:cs="Times New Roman" w:hAnsiTheme="minorEastAsia"/>
            </w:rPr>
            <w:t>认证依据</w:t>
          </w:r>
          <w:r>
            <w:tab/>
          </w:r>
          <w:r>
            <w:fldChar w:fldCharType="begin"/>
          </w:r>
          <w:r>
            <w:instrText xml:space="preserve"> PAGEREF _Toc227741566 \h </w:instrText>
          </w:r>
          <w:r>
            <w:fldChar w:fldCharType="separate"/>
          </w:r>
          <w:r>
            <w:t>3</w:t>
          </w:r>
          <w:r>
            <w:fldChar w:fldCharType="end"/>
          </w:r>
          <w:r>
            <w:fldChar w:fldCharType="end"/>
          </w:r>
        </w:p>
        <w:p w14:paraId="347E27AB">
          <w:pPr>
            <w:pStyle w:val="23"/>
            <w:tabs>
              <w:tab w:val="right" w:leader="dot" w:pos="9856"/>
            </w:tabs>
            <w:rPr>
              <w:kern w:val="2"/>
              <w:sz w:val="21"/>
              <w:lang w:bidi="ar-SA"/>
            </w:rPr>
          </w:pPr>
          <w:r>
            <w:fldChar w:fldCharType="begin"/>
          </w:r>
          <w:r>
            <w:instrText xml:space="preserve"> HYPERLINK \l "_Toc227741567" </w:instrText>
          </w:r>
          <w:r>
            <w:fldChar w:fldCharType="separate"/>
          </w:r>
          <w:r>
            <w:rPr>
              <w:rStyle w:val="38"/>
              <w:rFonts w:ascii="Times New Roman" w:hAnsi="Times New Roman" w:cs="Times New Roman"/>
            </w:rPr>
            <w:t>3</w:t>
          </w:r>
          <w:r>
            <w:rPr>
              <w:rStyle w:val="38"/>
              <w:rFonts w:hint="eastAsia" w:ascii="Times New Roman" w:cs="Times New Roman" w:hAnsiTheme="minorEastAsia"/>
            </w:rPr>
            <w:t>对认证机构的基本要求</w:t>
          </w:r>
          <w:r>
            <w:tab/>
          </w:r>
          <w:r>
            <w:fldChar w:fldCharType="begin"/>
          </w:r>
          <w:r>
            <w:instrText xml:space="preserve"> PAGEREF _Toc227741567 \h </w:instrText>
          </w:r>
          <w:r>
            <w:fldChar w:fldCharType="separate"/>
          </w:r>
          <w:r>
            <w:t>3</w:t>
          </w:r>
          <w:r>
            <w:fldChar w:fldCharType="end"/>
          </w:r>
          <w:r>
            <w:fldChar w:fldCharType="end"/>
          </w:r>
        </w:p>
        <w:p w14:paraId="0CC2EB55">
          <w:pPr>
            <w:pStyle w:val="23"/>
            <w:tabs>
              <w:tab w:val="right" w:leader="dot" w:pos="9856"/>
            </w:tabs>
            <w:rPr>
              <w:kern w:val="2"/>
              <w:sz w:val="21"/>
              <w:lang w:bidi="ar-SA"/>
            </w:rPr>
          </w:pPr>
          <w:r>
            <w:fldChar w:fldCharType="begin"/>
          </w:r>
          <w:r>
            <w:instrText xml:space="preserve"> HYPERLINK \l "_Toc227741568" </w:instrText>
          </w:r>
          <w:r>
            <w:fldChar w:fldCharType="separate"/>
          </w:r>
          <w:r>
            <w:rPr>
              <w:rStyle w:val="38"/>
              <w:rFonts w:ascii="Times New Roman" w:hAnsi="Times New Roman" w:cs="Times New Roman"/>
            </w:rPr>
            <w:t>4</w:t>
          </w:r>
          <w:r>
            <w:rPr>
              <w:rStyle w:val="38"/>
              <w:rFonts w:hint="eastAsia" w:ascii="Times New Roman" w:cs="Times New Roman" w:hAnsiTheme="minorEastAsia"/>
            </w:rPr>
            <w:t>对认证人员的基本要求</w:t>
          </w:r>
          <w:r>
            <w:tab/>
          </w:r>
          <w:r>
            <w:fldChar w:fldCharType="begin"/>
          </w:r>
          <w:r>
            <w:instrText xml:space="preserve"> PAGEREF _Toc227741568 \h </w:instrText>
          </w:r>
          <w:r>
            <w:fldChar w:fldCharType="separate"/>
          </w:r>
          <w:r>
            <w:t>4</w:t>
          </w:r>
          <w:r>
            <w:fldChar w:fldCharType="end"/>
          </w:r>
          <w:r>
            <w:fldChar w:fldCharType="end"/>
          </w:r>
        </w:p>
        <w:p w14:paraId="5603A513">
          <w:pPr>
            <w:pStyle w:val="23"/>
            <w:tabs>
              <w:tab w:val="right" w:leader="dot" w:pos="9856"/>
            </w:tabs>
            <w:rPr>
              <w:kern w:val="2"/>
              <w:sz w:val="21"/>
              <w:lang w:bidi="ar-SA"/>
            </w:rPr>
          </w:pPr>
          <w:r>
            <w:fldChar w:fldCharType="begin"/>
          </w:r>
          <w:r>
            <w:instrText xml:space="preserve"> HYPERLINK \l "_Toc227741569" </w:instrText>
          </w:r>
          <w:r>
            <w:fldChar w:fldCharType="separate"/>
          </w:r>
          <w:r>
            <w:rPr>
              <w:rStyle w:val="38"/>
              <w:rFonts w:ascii="Times New Roman" w:hAnsi="Times New Roman" w:cs="Times New Roman"/>
            </w:rPr>
            <w:t>5</w:t>
          </w:r>
          <w:r>
            <w:rPr>
              <w:rStyle w:val="38"/>
              <w:rFonts w:hint="eastAsia" w:ascii="Times New Roman" w:cs="Times New Roman" w:hAnsiTheme="minorEastAsia"/>
            </w:rPr>
            <w:t>认证程序</w:t>
          </w:r>
          <w:r>
            <w:tab/>
          </w:r>
          <w:r>
            <w:fldChar w:fldCharType="begin"/>
          </w:r>
          <w:r>
            <w:instrText xml:space="preserve"> PAGEREF _Toc227741569 \h </w:instrText>
          </w:r>
          <w:r>
            <w:fldChar w:fldCharType="separate"/>
          </w:r>
          <w:r>
            <w:t>5</w:t>
          </w:r>
          <w:r>
            <w:fldChar w:fldCharType="end"/>
          </w:r>
          <w:r>
            <w:fldChar w:fldCharType="end"/>
          </w:r>
        </w:p>
        <w:p w14:paraId="21A6DCD9">
          <w:pPr>
            <w:pStyle w:val="27"/>
            <w:tabs>
              <w:tab w:val="right" w:leader="dot" w:pos="9856"/>
            </w:tabs>
            <w:rPr>
              <w:kern w:val="2"/>
              <w:sz w:val="21"/>
              <w:lang w:bidi="ar-SA"/>
            </w:rPr>
          </w:pPr>
          <w:r>
            <w:fldChar w:fldCharType="begin"/>
          </w:r>
          <w:r>
            <w:instrText xml:space="preserve"> HYPERLINK \l "_Toc227741570" </w:instrText>
          </w:r>
          <w:r>
            <w:fldChar w:fldCharType="separate"/>
          </w:r>
          <w:r>
            <w:rPr>
              <w:rStyle w:val="38"/>
              <w:rFonts w:ascii="Times New Roman" w:hAnsi="Times New Roman" w:cs="Times New Roman"/>
            </w:rPr>
            <w:t>5.1</w:t>
          </w:r>
          <w:r>
            <w:rPr>
              <w:rStyle w:val="38"/>
              <w:rFonts w:hint="eastAsia" w:ascii="Times New Roman" w:cs="Times New Roman" w:hAnsiTheme="minorEastAsia"/>
            </w:rPr>
            <w:t>认证申请</w:t>
          </w:r>
          <w:r>
            <w:tab/>
          </w:r>
          <w:r>
            <w:fldChar w:fldCharType="begin"/>
          </w:r>
          <w:r>
            <w:instrText xml:space="preserve"> PAGEREF _Toc227741570 \h </w:instrText>
          </w:r>
          <w:r>
            <w:fldChar w:fldCharType="separate"/>
          </w:r>
          <w:r>
            <w:t>5</w:t>
          </w:r>
          <w:r>
            <w:fldChar w:fldCharType="end"/>
          </w:r>
          <w:r>
            <w:fldChar w:fldCharType="end"/>
          </w:r>
        </w:p>
        <w:p w14:paraId="10CDC7D3">
          <w:pPr>
            <w:pStyle w:val="27"/>
            <w:tabs>
              <w:tab w:val="right" w:leader="dot" w:pos="9856"/>
            </w:tabs>
            <w:rPr>
              <w:kern w:val="2"/>
              <w:sz w:val="21"/>
              <w:lang w:bidi="ar-SA"/>
            </w:rPr>
          </w:pPr>
          <w:r>
            <w:fldChar w:fldCharType="begin"/>
          </w:r>
          <w:r>
            <w:instrText xml:space="preserve"> HYPERLINK \l "_Toc227741571" </w:instrText>
          </w:r>
          <w:r>
            <w:fldChar w:fldCharType="separate"/>
          </w:r>
          <w:r>
            <w:rPr>
              <w:rStyle w:val="38"/>
              <w:rFonts w:ascii="Times New Roman" w:hAnsi="Times New Roman" w:cs="Times New Roman"/>
            </w:rPr>
            <w:t>5.2</w:t>
          </w:r>
          <w:r>
            <w:rPr>
              <w:rStyle w:val="38"/>
              <w:rFonts w:hint="eastAsia" w:ascii="Times New Roman" w:cs="Times New Roman" w:hAnsiTheme="minorEastAsia"/>
            </w:rPr>
            <w:t>申请评审</w:t>
          </w:r>
          <w:r>
            <w:tab/>
          </w:r>
          <w:r>
            <w:fldChar w:fldCharType="begin"/>
          </w:r>
          <w:r>
            <w:instrText xml:space="preserve"> PAGEREF _Toc227741571 \h </w:instrText>
          </w:r>
          <w:r>
            <w:fldChar w:fldCharType="separate"/>
          </w:r>
          <w:r>
            <w:t>6</w:t>
          </w:r>
          <w:r>
            <w:fldChar w:fldCharType="end"/>
          </w:r>
          <w:r>
            <w:fldChar w:fldCharType="end"/>
          </w:r>
        </w:p>
        <w:p w14:paraId="56D0D7E4">
          <w:pPr>
            <w:pStyle w:val="27"/>
            <w:tabs>
              <w:tab w:val="right" w:leader="dot" w:pos="9856"/>
            </w:tabs>
            <w:rPr>
              <w:kern w:val="2"/>
              <w:sz w:val="21"/>
              <w:lang w:bidi="ar-SA"/>
            </w:rPr>
          </w:pPr>
          <w:r>
            <w:fldChar w:fldCharType="begin"/>
          </w:r>
          <w:r>
            <w:instrText xml:space="preserve"> HYPERLINK \l "_Toc227741572" </w:instrText>
          </w:r>
          <w:r>
            <w:fldChar w:fldCharType="separate"/>
          </w:r>
          <w:r>
            <w:rPr>
              <w:rStyle w:val="38"/>
              <w:rFonts w:hAnsi="Times New Roman"/>
            </w:rPr>
            <w:t>5.3</w:t>
          </w:r>
          <w:r>
            <w:rPr>
              <w:rStyle w:val="38"/>
              <w:rFonts w:hint="eastAsia"/>
            </w:rPr>
            <w:t>认证合同及相关责任</w:t>
          </w:r>
          <w:r>
            <w:tab/>
          </w:r>
          <w:r>
            <w:fldChar w:fldCharType="begin"/>
          </w:r>
          <w:r>
            <w:instrText xml:space="preserve"> PAGEREF _Toc227741572 \h </w:instrText>
          </w:r>
          <w:r>
            <w:fldChar w:fldCharType="separate"/>
          </w:r>
          <w:r>
            <w:t>6</w:t>
          </w:r>
          <w:r>
            <w:fldChar w:fldCharType="end"/>
          </w:r>
          <w:r>
            <w:fldChar w:fldCharType="end"/>
          </w:r>
        </w:p>
        <w:p w14:paraId="3D9899C8">
          <w:pPr>
            <w:pStyle w:val="27"/>
            <w:tabs>
              <w:tab w:val="right" w:leader="dot" w:pos="9856"/>
            </w:tabs>
            <w:rPr>
              <w:kern w:val="2"/>
              <w:sz w:val="21"/>
              <w:lang w:bidi="ar-SA"/>
            </w:rPr>
          </w:pPr>
          <w:r>
            <w:fldChar w:fldCharType="begin"/>
          </w:r>
          <w:r>
            <w:instrText xml:space="preserve"> HYPERLINK \l "_Toc227741573" </w:instrText>
          </w:r>
          <w:r>
            <w:fldChar w:fldCharType="separate"/>
          </w:r>
          <w:r>
            <w:rPr>
              <w:rStyle w:val="38"/>
              <w:rFonts w:hAnsi="Times New Roman"/>
            </w:rPr>
            <w:t>5.4</w:t>
          </w:r>
          <w:r>
            <w:rPr>
              <w:rStyle w:val="38"/>
              <w:rFonts w:hint="eastAsia"/>
            </w:rPr>
            <w:t>审核方案和审核策划</w:t>
          </w:r>
          <w:r>
            <w:tab/>
          </w:r>
          <w:r>
            <w:fldChar w:fldCharType="begin"/>
          </w:r>
          <w:r>
            <w:instrText xml:space="preserve"> PAGEREF _Toc227741573 \h </w:instrText>
          </w:r>
          <w:r>
            <w:fldChar w:fldCharType="separate"/>
          </w:r>
          <w:r>
            <w:t>7</w:t>
          </w:r>
          <w:r>
            <w:fldChar w:fldCharType="end"/>
          </w:r>
          <w:r>
            <w:fldChar w:fldCharType="end"/>
          </w:r>
        </w:p>
        <w:p w14:paraId="2CBDBB43">
          <w:pPr>
            <w:pStyle w:val="27"/>
            <w:tabs>
              <w:tab w:val="right" w:leader="dot" w:pos="9856"/>
            </w:tabs>
            <w:rPr>
              <w:kern w:val="2"/>
              <w:sz w:val="21"/>
              <w:lang w:bidi="ar-SA"/>
            </w:rPr>
          </w:pPr>
          <w:r>
            <w:fldChar w:fldCharType="begin"/>
          </w:r>
          <w:r>
            <w:instrText xml:space="preserve"> HYPERLINK \l "_Toc227741574" </w:instrText>
          </w:r>
          <w:r>
            <w:fldChar w:fldCharType="separate"/>
          </w:r>
          <w:r>
            <w:rPr>
              <w:rStyle w:val="38"/>
            </w:rPr>
            <w:t>5.5</w:t>
          </w:r>
          <w:r>
            <w:rPr>
              <w:rStyle w:val="38"/>
              <w:rFonts w:hint="eastAsia" w:hAnsiTheme="minorEastAsia"/>
            </w:rPr>
            <w:t>实施审核</w:t>
          </w:r>
          <w:r>
            <w:tab/>
          </w:r>
          <w:r>
            <w:fldChar w:fldCharType="begin"/>
          </w:r>
          <w:r>
            <w:instrText xml:space="preserve"> PAGEREF _Toc227741574 \h </w:instrText>
          </w:r>
          <w:r>
            <w:fldChar w:fldCharType="separate"/>
          </w:r>
          <w:r>
            <w:t>9</w:t>
          </w:r>
          <w:r>
            <w:fldChar w:fldCharType="end"/>
          </w:r>
          <w:r>
            <w:fldChar w:fldCharType="end"/>
          </w:r>
        </w:p>
        <w:p w14:paraId="1E7CC546">
          <w:pPr>
            <w:pStyle w:val="27"/>
            <w:tabs>
              <w:tab w:val="right" w:leader="dot" w:pos="9856"/>
            </w:tabs>
            <w:rPr>
              <w:kern w:val="2"/>
              <w:sz w:val="21"/>
              <w:lang w:bidi="ar-SA"/>
            </w:rPr>
          </w:pPr>
          <w:r>
            <w:fldChar w:fldCharType="begin"/>
          </w:r>
          <w:r>
            <w:instrText xml:space="preserve"> HYPERLINK \l "_Toc227741575" </w:instrText>
          </w:r>
          <w:r>
            <w:fldChar w:fldCharType="separate"/>
          </w:r>
          <w:r>
            <w:rPr>
              <w:rStyle w:val="38"/>
            </w:rPr>
            <w:t>5.6</w:t>
          </w:r>
          <w:r>
            <w:rPr>
              <w:rStyle w:val="38"/>
              <w:rFonts w:hint="eastAsia" w:hAnsiTheme="minorEastAsia"/>
            </w:rPr>
            <w:t>初次认证审核</w:t>
          </w:r>
          <w:r>
            <w:tab/>
          </w:r>
          <w:r>
            <w:fldChar w:fldCharType="begin"/>
          </w:r>
          <w:r>
            <w:instrText xml:space="preserve"> PAGEREF _Toc227741575 \h </w:instrText>
          </w:r>
          <w:r>
            <w:fldChar w:fldCharType="separate"/>
          </w:r>
          <w:r>
            <w:t>9</w:t>
          </w:r>
          <w:r>
            <w:fldChar w:fldCharType="end"/>
          </w:r>
          <w:r>
            <w:fldChar w:fldCharType="end"/>
          </w:r>
        </w:p>
        <w:p w14:paraId="47FB3AC6">
          <w:pPr>
            <w:pStyle w:val="27"/>
            <w:tabs>
              <w:tab w:val="right" w:leader="dot" w:pos="9856"/>
            </w:tabs>
            <w:rPr>
              <w:kern w:val="2"/>
              <w:sz w:val="21"/>
              <w:lang w:bidi="ar-SA"/>
            </w:rPr>
          </w:pPr>
          <w:r>
            <w:fldChar w:fldCharType="begin"/>
          </w:r>
          <w:r>
            <w:instrText xml:space="preserve"> HYPERLINK \l "_Toc227741576" </w:instrText>
          </w:r>
          <w:r>
            <w:fldChar w:fldCharType="separate"/>
          </w:r>
          <w:r>
            <w:rPr>
              <w:rStyle w:val="38"/>
              <w:rFonts w:hAnsiTheme="minorEastAsia"/>
            </w:rPr>
            <w:t>5.7</w:t>
          </w:r>
          <w:r>
            <w:rPr>
              <w:rStyle w:val="38"/>
              <w:rFonts w:hint="eastAsia" w:hAnsiTheme="minorEastAsia"/>
            </w:rPr>
            <w:t>监督审核</w:t>
          </w:r>
          <w:r>
            <w:tab/>
          </w:r>
          <w:r>
            <w:fldChar w:fldCharType="begin"/>
          </w:r>
          <w:r>
            <w:instrText xml:space="preserve"> PAGEREF _Toc227741576 \h </w:instrText>
          </w:r>
          <w:r>
            <w:fldChar w:fldCharType="separate"/>
          </w:r>
          <w:r>
            <w:t>10</w:t>
          </w:r>
          <w:r>
            <w:fldChar w:fldCharType="end"/>
          </w:r>
          <w:r>
            <w:fldChar w:fldCharType="end"/>
          </w:r>
        </w:p>
        <w:p w14:paraId="368B4166">
          <w:pPr>
            <w:pStyle w:val="27"/>
            <w:tabs>
              <w:tab w:val="right" w:leader="dot" w:pos="9856"/>
            </w:tabs>
            <w:rPr>
              <w:kern w:val="2"/>
              <w:sz w:val="21"/>
              <w:lang w:bidi="ar-SA"/>
            </w:rPr>
          </w:pPr>
          <w:r>
            <w:fldChar w:fldCharType="begin"/>
          </w:r>
          <w:r>
            <w:instrText xml:space="preserve"> HYPERLINK \l "_Toc227741577" </w:instrText>
          </w:r>
          <w:r>
            <w:fldChar w:fldCharType="separate"/>
          </w:r>
          <w:r>
            <w:rPr>
              <w:rStyle w:val="38"/>
              <w:rFonts w:hAnsiTheme="minorEastAsia"/>
            </w:rPr>
            <w:t>5.8</w:t>
          </w:r>
          <w:r>
            <w:rPr>
              <w:rStyle w:val="38"/>
              <w:rFonts w:hint="eastAsia" w:hAnsiTheme="minorEastAsia"/>
            </w:rPr>
            <w:t>再认证审核</w:t>
          </w:r>
          <w:r>
            <w:tab/>
          </w:r>
          <w:r>
            <w:fldChar w:fldCharType="begin"/>
          </w:r>
          <w:r>
            <w:instrText xml:space="preserve"> PAGEREF _Toc227741577 \h </w:instrText>
          </w:r>
          <w:r>
            <w:fldChar w:fldCharType="separate"/>
          </w:r>
          <w:r>
            <w:t>11</w:t>
          </w:r>
          <w:r>
            <w:fldChar w:fldCharType="end"/>
          </w:r>
          <w:r>
            <w:fldChar w:fldCharType="end"/>
          </w:r>
        </w:p>
        <w:p w14:paraId="16B2C59D">
          <w:pPr>
            <w:pStyle w:val="27"/>
            <w:tabs>
              <w:tab w:val="right" w:leader="dot" w:pos="9856"/>
            </w:tabs>
            <w:rPr>
              <w:kern w:val="2"/>
              <w:sz w:val="21"/>
              <w:lang w:bidi="ar-SA"/>
            </w:rPr>
          </w:pPr>
          <w:r>
            <w:fldChar w:fldCharType="begin"/>
          </w:r>
          <w:r>
            <w:instrText xml:space="preserve"> HYPERLINK \l "_Toc227741578" </w:instrText>
          </w:r>
          <w:r>
            <w:fldChar w:fldCharType="separate"/>
          </w:r>
          <w:r>
            <w:rPr>
              <w:rStyle w:val="38"/>
              <w:rFonts w:hAnsiTheme="minorEastAsia"/>
            </w:rPr>
            <w:t>5.9</w:t>
          </w:r>
          <w:r>
            <w:rPr>
              <w:rStyle w:val="38"/>
              <w:rFonts w:hint="eastAsia" w:hAnsiTheme="minorEastAsia"/>
            </w:rPr>
            <w:t>特殊审核</w:t>
          </w:r>
          <w:r>
            <w:tab/>
          </w:r>
          <w:r>
            <w:fldChar w:fldCharType="begin"/>
          </w:r>
          <w:r>
            <w:instrText xml:space="preserve"> PAGEREF _Toc227741578 \h </w:instrText>
          </w:r>
          <w:r>
            <w:fldChar w:fldCharType="separate"/>
          </w:r>
          <w:r>
            <w:t>11</w:t>
          </w:r>
          <w:r>
            <w:fldChar w:fldCharType="end"/>
          </w:r>
          <w:r>
            <w:fldChar w:fldCharType="end"/>
          </w:r>
        </w:p>
        <w:p w14:paraId="34087EA8">
          <w:pPr>
            <w:pStyle w:val="27"/>
            <w:tabs>
              <w:tab w:val="right" w:leader="dot" w:pos="9856"/>
            </w:tabs>
            <w:rPr>
              <w:kern w:val="2"/>
              <w:sz w:val="21"/>
              <w:lang w:bidi="ar-SA"/>
            </w:rPr>
          </w:pPr>
          <w:r>
            <w:fldChar w:fldCharType="begin"/>
          </w:r>
          <w:r>
            <w:instrText xml:space="preserve"> HYPERLINK \l "_Toc227741579" </w:instrText>
          </w:r>
          <w:r>
            <w:fldChar w:fldCharType="separate"/>
          </w:r>
          <w:r>
            <w:rPr>
              <w:rStyle w:val="38"/>
              <w:rFonts w:hAnsiTheme="minorEastAsia"/>
            </w:rPr>
            <w:t>5.10</w:t>
          </w:r>
          <w:r>
            <w:rPr>
              <w:rStyle w:val="38"/>
              <w:rFonts w:hint="eastAsia" w:hAnsiTheme="minorEastAsia"/>
            </w:rPr>
            <w:t>不符合项及其验证</w:t>
          </w:r>
          <w:r>
            <w:tab/>
          </w:r>
          <w:r>
            <w:fldChar w:fldCharType="begin"/>
          </w:r>
          <w:r>
            <w:instrText xml:space="preserve"> PAGEREF _Toc227741579 \h </w:instrText>
          </w:r>
          <w:r>
            <w:fldChar w:fldCharType="separate"/>
          </w:r>
          <w:r>
            <w:t>12</w:t>
          </w:r>
          <w:r>
            <w:fldChar w:fldCharType="end"/>
          </w:r>
          <w:r>
            <w:fldChar w:fldCharType="end"/>
          </w:r>
        </w:p>
        <w:p w14:paraId="6BDEC443">
          <w:pPr>
            <w:pStyle w:val="27"/>
            <w:tabs>
              <w:tab w:val="right" w:leader="dot" w:pos="9856"/>
            </w:tabs>
            <w:rPr>
              <w:kern w:val="2"/>
              <w:sz w:val="21"/>
              <w:lang w:bidi="ar-SA"/>
            </w:rPr>
          </w:pPr>
          <w:r>
            <w:fldChar w:fldCharType="begin"/>
          </w:r>
          <w:r>
            <w:instrText xml:space="preserve"> HYPERLINK \l "_Toc227741580" </w:instrText>
          </w:r>
          <w:r>
            <w:fldChar w:fldCharType="separate"/>
          </w:r>
          <w:r>
            <w:rPr>
              <w:rStyle w:val="38"/>
              <w:rFonts w:hAnsiTheme="minorEastAsia"/>
            </w:rPr>
            <w:t>5.11</w:t>
          </w:r>
          <w:r>
            <w:rPr>
              <w:rStyle w:val="38"/>
              <w:rFonts w:hint="eastAsia" w:hAnsiTheme="minorEastAsia"/>
            </w:rPr>
            <w:t>审核报告</w:t>
          </w:r>
          <w:r>
            <w:tab/>
          </w:r>
          <w:r>
            <w:fldChar w:fldCharType="begin"/>
          </w:r>
          <w:r>
            <w:instrText xml:space="preserve"> PAGEREF _Toc227741580 \h </w:instrText>
          </w:r>
          <w:r>
            <w:fldChar w:fldCharType="separate"/>
          </w:r>
          <w:r>
            <w:t>12</w:t>
          </w:r>
          <w:r>
            <w:fldChar w:fldCharType="end"/>
          </w:r>
          <w:r>
            <w:fldChar w:fldCharType="end"/>
          </w:r>
        </w:p>
        <w:p w14:paraId="180AF396">
          <w:pPr>
            <w:pStyle w:val="27"/>
            <w:tabs>
              <w:tab w:val="right" w:leader="dot" w:pos="9856"/>
            </w:tabs>
            <w:rPr>
              <w:kern w:val="2"/>
              <w:sz w:val="21"/>
              <w:lang w:bidi="ar-SA"/>
            </w:rPr>
          </w:pPr>
          <w:r>
            <w:fldChar w:fldCharType="begin"/>
          </w:r>
          <w:r>
            <w:instrText xml:space="preserve"> HYPERLINK \l "_Toc227741581" </w:instrText>
          </w:r>
          <w:r>
            <w:fldChar w:fldCharType="separate"/>
          </w:r>
          <w:r>
            <w:rPr>
              <w:rStyle w:val="38"/>
              <w:rFonts w:hAnsiTheme="minorEastAsia"/>
            </w:rPr>
            <w:t>5.12</w:t>
          </w:r>
          <w:r>
            <w:rPr>
              <w:rStyle w:val="38"/>
              <w:rFonts w:hint="eastAsia" w:hAnsiTheme="minorEastAsia"/>
            </w:rPr>
            <w:t>认证决定</w:t>
          </w:r>
          <w:r>
            <w:tab/>
          </w:r>
          <w:r>
            <w:fldChar w:fldCharType="begin"/>
          </w:r>
          <w:r>
            <w:instrText xml:space="preserve"> PAGEREF _Toc227741581 \h </w:instrText>
          </w:r>
          <w:r>
            <w:fldChar w:fldCharType="separate"/>
          </w:r>
          <w:r>
            <w:t>13</w:t>
          </w:r>
          <w:r>
            <w:fldChar w:fldCharType="end"/>
          </w:r>
          <w:r>
            <w:fldChar w:fldCharType="end"/>
          </w:r>
        </w:p>
        <w:p w14:paraId="1804FADB">
          <w:pPr>
            <w:pStyle w:val="23"/>
            <w:tabs>
              <w:tab w:val="right" w:leader="dot" w:pos="9856"/>
            </w:tabs>
            <w:rPr>
              <w:kern w:val="2"/>
              <w:sz w:val="21"/>
              <w:lang w:bidi="ar-SA"/>
            </w:rPr>
          </w:pPr>
          <w:r>
            <w:fldChar w:fldCharType="begin"/>
          </w:r>
          <w:r>
            <w:instrText xml:space="preserve"> HYPERLINK \l "_Toc227741582" </w:instrText>
          </w:r>
          <w:r>
            <w:fldChar w:fldCharType="separate"/>
          </w:r>
          <w:r>
            <w:rPr>
              <w:rStyle w:val="38"/>
              <w:rFonts w:hAnsi="Times New Roman"/>
            </w:rPr>
            <w:t xml:space="preserve">6 </w:t>
          </w:r>
          <w:r>
            <w:rPr>
              <w:rStyle w:val="38"/>
              <w:rFonts w:hint="eastAsia"/>
            </w:rPr>
            <w:t>认证证书和认证标志</w:t>
          </w:r>
          <w:r>
            <w:tab/>
          </w:r>
          <w:r>
            <w:fldChar w:fldCharType="begin"/>
          </w:r>
          <w:r>
            <w:instrText xml:space="preserve"> PAGEREF _Toc227741582 \h </w:instrText>
          </w:r>
          <w:r>
            <w:fldChar w:fldCharType="separate"/>
          </w:r>
          <w:r>
            <w:t>14</w:t>
          </w:r>
          <w:r>
            <w:fldChar w:fldCharType="end"/>
          </w:r>
          <w:r>
            <w:fldChar w:fldCharType="end"/>
          </w:r>
        </w:p>
        <w:p w14:paraId="2918CCFB">
          <w:pPr>
            <w:pStyle w:val="23"/>
            <w:tabs>
              <w:tab w:val="right" w:leader="dot" w:pos="9856"/>
            </w:tabs>
            <w:rPr>
              <w:kern w:val="2"/>
              <w:sz w:val="21"/>
              <w:lang w:bidi="ar-SA"/>
            </w:rPr>
          </w:pPr>
          <w:r>
            <w:fldChar w:fldCharType="begin"/>
          </w:r>
          <w:r>
            <w:instrText xml:space="preserve"> HYPERLINK \l "_Toc227741583" </w:instrText>
          </w:r>
          <w:r>
            <w:fldChar w:fldCharType="separate"/>
          </w:r>
          <w:r>
            <w:rPr>
              <w:rStyle w:val="38"/>
              <w:rFonts w:hAnsi="Times New Roman"/>
            </w:rPr>
            <w:t xml:space="preserve">7 </w:t>
          </w:r>
          <w:r>
            <w:rPr>
              <w:rStyle w:val="38"/>
              <w:rFonts w:hint="eastAsia"/>
            </w:rPr>
            <w:t>认证证书的暂停、撤销和注销</w:t>
          </w:r>
          <w:r>
            <w:tab/>
          </w:r>
          <w:r>
            <w:fldChar w:fldCharType="begin"/>
          </w:r>
          <w:r>
            <w:instrText xml:space="preserve"> PAGEREF _Toc227741583 \h </w:instrText>
          </w:r>
          <w:r>
            <w:fldChar w:fldCharType="separate"/>
          </w:r>
          <w:r>
            <w:t>15</w:t>
          </w:r>
          <w:r>
            <w:fldChar w:fldCharType="end"/>
          </w:r>
          <w:r>
            <w:fldChar w:fldCharType="end"/>
          </w:r>
        </w:p>
        <w:p w14:paraId="735F2EAC">
          <w:pPr>
            <w:pStyle w:val="23"/>
            <w:tabs>
              <w:tab w:val="right" w:leader="dot" w:pos="9856"/>
            </w:tabs>
            <w:rPr>
              <w:kern w:val="2"/>
              <w:sz w:val="21"/>
              <w:lang w:bidi="ar-SA"/>
            </w:rPr>
          </w:pPr>
          <w:r>
            <w:fldChar w:fldCharType="begin"/>
          </w:r>
          <w:r>
            <w:instrText xml:space="preserve"> HYPERLINK \l "_Toc227741584" </w:instrText>
          </w:r>
          <w:r>
            <w:fldChar w:fldCharType="separate"/>
          </w:r>
          <w:r>
            <w:rPr>
              <w:rStyle w:val="38"/>
              <w:rFonts w:hAnsi="Times New Roman"/>
            </w:rPr>
            <w:t xml:space="preserve">8 </w:t>
          </w:r>
          <w:r>
            <w:rPr>
              <w:rStyle w:val="38"/>
              <w:rFonts w:hint="eastAsia"/>
            </w:rPr>
            <w:t>申诉（投诉）处理</w:t>
          </w:r>
          <w:r>
            <w:tab/>
          </w:r>
          <w:r>
            <w:fldChar w:fldCharType="begin"/>
          </w:r>
          <w:r>
            <w:instrText xml:space="preserve"> PAGEREF _Toc227741584 \h </w:instrText>
          </w:r>
          <w:r>
            <w:fldChar w:fldCharType="separate"/>
          </w:r>
          <w:r>
            <w:t>17</w:t>
          </w:r>
          <w:r>
            <w:fldChar w:fldCharType="end"/>
          </w:r>
          <w:r>
            <w:fldChar w:fldCharType="end"/>
          </w:r>
        </w:p>
        <w:p w14:paraId="56C88C96">
          <w:pPr>
            <w:pStyle w:val="23"/>
            <w:tabs>
              <w:tab w:val="right" w:leader="dot" w:pos="9856"/>
            </w:tabs>
            <w:rPr>
              <w:kern w:val="2"/>
              <w:sz w:val="21"/>
              <w:lang w:bidi="ar-SA"/>
            </w:rPr>
          </w:pPr>
          <w:r>
            <w:fldChar w:fldCharType="begin"/>
          </w:r>
          <w:r>
            <w:instrText xml:space="preserve"> HYPERLINK \l "_Toc227741585" </w:instrText>
          </w:r>
          <w:r>
            <w:fldChar w:fldCharType="separate"/>
          </w:r>
          <w:r>
            <w:rPr>
              <w:rStyle w:val="38"/>
              <w:rFonts w:hAnsi="Times New Roman"/>
            </w:rPr>
            <w:t xml:space="preserve">9 </w:t>
          </w:r>
          <w:r>
            <w:rPr>
              <w:rStyle w:val="38"/>
              <w:rFonts w:hint="eastAsia"/>
            </w:rPr>
            <w:t>信息公开与报告</w:t>
          </w:r>
          <w:r>
            <w:tab/>
          </w:r>
          <w:r>
            <w:fldChar w:fldCharType="begin"/>
          </w:r>
          <w:r>
            <w:instrText xml:space="preserve"> PAGEREF _Toc227741585 \h </w:instrText>
          </w:r>
          <w:r>
            <w:fldChar w:fldCharType="separate"/>
          </w:r>
          <w:r>
            <w:t>17</w:t>
          </w:r>
          <w:r>
            <w:fldChar w:fldCharType="end"/>
          </w:r>
          <w:r>
            <w:fldChar w:fldCharType="end"/>
          </w:r>
        </w:p>
        <w:p w14:paraId="65394F6A">
          <w:pPr>
            <w:pStyle w:val="23"/>
            <w:tabs>
              <w:tab w:val="right" w:leader="dot" w:pos="9856"/>
            </w:tabs>
            <w:rPr>
              <w:kern w:val="2"/>
              <w:sz w:val="21"/>
              <w:lang w:bidi="ar-SA"/>
            </w:rPr>
          </w:pPr>
          <w:r>
            <w:fldChar w:fldCharType="begin"/>
          </w:r>
          <w:r>
            <w:instrText xml:space="preserve"> HYPERLINK \l "_Toc227741586" </w:instrText>
          </w:r>
          <w:r>
            <w:fldChar w:fldCharType="separate"/>
          </w:r>
          <w:r>
            <w:rPr>
              <w:rStyle w:val="38"/>
              <w:rFonts w:hAnsi="Times New Roman"/>
            </w:rPr>
            <w:t xml:space="preserve">10 </w:t>
          </w:r>
          <w:r>
            <w:rPr>
              <w:rStyle w:val="38"/>
              <w:rFonts w:hint="eastAsia"/>
            </w:rPr>
            <w:t>认证记录</w:t>
          </w:r>
          <w:r>
            <w:tab/>
          </w:r>
          <w:r>
            <w:fldChar w:fldCharType="begin"/>
          </w:r>
          <w:r>
            <w:instrText xml:space="preserve"> PAGEREF _Toc227741586 \h </w:instrText>
          </w:r>
          <w:r>
            <w:fldChar w:fldCharType="separate"/>
          </w:r>
          <w:r>
            <w:t>18</w:t>
          </w:r>
          <w:r>
            <w:fldChar w:fldCharType="end"/>
          </w:r>
          <w:r>
            <w:fldChar w:fldCharType="end"/>
          </w:r>
        </w:p>
        <w:p w14:paraId="2FD66D15">
          <w:pPr>
            <w:pStyle w:val="23"/>
            <w:tabs>
              <w:tab w:val="right" w:leader="dot" w:pos="9856"/>
            </w:tabs>
            <w:rPr>
              <w:kern w:val="2"/>
              <w:sz w:val="21"/>
              <w:lang w:bidi="ar-SA"/>
            </w:rPr>
          </w:pPr>
          <w:r>
            <w:fldChar w:fldCharType="begin"/>
          </w:r>
          <w:r>
            <w:instrText xml:space="preserve"> HYPERLINK \l "_Toc227741587" </w:instrText>
          </w:r>
          <w:r>
            <w:fldChar w:fldCharType="separate"/>
          </w:r>
          <w:r>
            <w:rPr>
              <w:rStyle w:val="38"/>
              <w:rFonts w:ascii="Times New Roman" w:hAnsi="Times New Roman" w:cs="Times New Roman"/>
            </w:rPr>
            <w:t xml:space="preserve">11 </w:t>
          </w:r>
          <w:r>
            <w:rPr>
              <w:rStyle w:val="38"/>
              <w:rFonts w:hint="eastAsia" w:ascii="Times New Roman" w:cs="Times New Roman"/>
            </w:rPr>
            <w:t>其他</w:t>
          </w:r>
          <w:r>
            <w:tab/>
          </w:r>
          <w:r>
            <w:fldChar w:fldCharType="begin"/>
          </w:r>
          <w:r>
            <w:instrText xml:space="preserve"> PAGEREF _Toc227741587 \h </w:instrText>
          </w:r>
          <w:r>
            <w:fldChar w:fldCharType="separate"/>
          </w:r>
          <w:r>
            <w:t>19</w:t>
          </w:r>
          <w:r>
            <w:fldChar w:fldCharType="end"/>
          </w:r>
          <w:r>
            <w:fldChar w:fldCharType="end"/>
          </w:r>
        </w:p>
        <w:p w14:paraId="50EE62AC">
          <w:pPr>
            <w:pStyle w:val="23"/>
            <w:tabs>
              <w:tab w:val="right" w:leader="dot" w:pos="9856"/>
            </w:tabs>
            <w:rPr>
              <w:kern w:val="2"/>
              <w:sz w:val="21"/>
              <w:lang w:bidi="ar-SA"/>
            </w:rPr>
          </w:pPr>
          <w:r>
            <w:fldChar w:fldCharType="begin"/>
          </w:r>
          <w:r>
            <w:instrText xml:space="preserve"> HYPERLINK \l "_Toc227741588" </w:instrText>
          </w:r>
          <w:r>
            <w:fldChar w:fldCharType="separate"/>
          </w:r>
          <w:r>
            <w:rPr>
              <w:rStyle w:val="38"/>
              <w:rFonts w:hAnsi="Times New Roman"/>
            </w:rPr>
            <w:t xml:space="preserve">12 </w:t>
          </w:r>
          <w:r>
            <w:rPr>
              <w:rStyle w:val="38"/>
              <w:rFonts w:hint="eastAsia"/>
            </w:rPr>
            <w:t>附则</w:t>
          </w:r>
          <w:r>
            <w:tab/>
          </w:r>
          <w:r>
            <w:fldChar w:fldCharType="begin"/>
          </w:r>
          <w:r>
            <w:instrText xml:space="preserve"> PAGEREF _Toc227741588 \h </w:instrText>
          </w:r>
          <w:r>
            <w:fldChar w:fldCharType="separate"/>
          </w:r>
          <w:r>
            <w:t>19</w:t>
          </w:r>
          <w:r>
            <w:fldChar w:fldCharType="end"/>
          </w:r>
          <w:r>
            <w:fldChar w:fldCharType="end"/>
          </w:r>
        </w:p>
        <w:p w14:paraId="2F18BC9F">
          <w:pPr>
            <w:pStyle w:val="23"/>
            <w:tabs>
              <w:tab w:val="right" w:leader="dot" w:pos="9856"/>
            </w:tabs>
            <w:rPr>
              <w:kern w:val="2"/>
              <w:sz w:val="21"/>
              <w:lang w:bidi="ar-SA"/>
            </w:rPr>
          </w:pPr>
          <w:r>
            <w:fldChar w:fldCharType="begin"/>
          </w:r>
          <w:r>
            <w:instrText xml:space="preserve"> HYPERLINK \l "_Toc227741589" </w:instrText>
          </w:r>
          <w:r>
            <w:fldChar w:fldCharType="separate"/>
          </w:r>
          <w:r>
            <w:rPr>
              <w:rStyle w:val="38"/>
              <w:rFonts w:hint="eastAsia"/>
            </w:rPr>
            <w:t>附录</w:t>
          </w:r>
          <w:r>
            <w:rPr>
              <w:rStyle w:val="38"/>
            </w:rPr>
            <w:t xml:space="preserve">1  </w:t>
          </w:r>
          <w:r>
            <w:rPr>
              <w:rStyle w:val="38"/>
              <w:rFonts w:hint="eastAsia"/>
            </w:rPr>
            <w:t>认证业务范围分类</w:t>
          </w:r>
          <w:r>
            <w:tab/>
          </w:r>
          <w:r>
            <w:fldChar w:fldCharType="begin"/>
          </w:r>
          <w:r>
            <w:instrText xml:space="preserve"> PAGEREF _Toc227741589 \h </w:instrText>
          </w:r>
          <w:r>
            <w:fldChar w:fldCharType="separate"/>
          </w:r>
          <w:r>
            <w:t>21</w:t>
          </w:r>
          <w:r>
            <w:fldChar w:fldCharType="end"/>
          </w:r>
          <w:r>
            <w:fldChar w:fldCharType="end"/>
          </w:r>
        </w:p>
        <w:p w14:paraId="4FEA619F">
          <w:pPr>
            <w:pStyle w:val="23"/>
            <w:tabs>
              <w:tab w:val="right" w:leader="dot" w:pos="9856"/>
            </w:tabs>
            <w:rPr>
              <w:kern w:val="2"/>
              <w:sz w:val="21"/>
              <w:lang w:bidi="ar-SA"/>
            </w:rPr>
          </w:pPr>
          <w:r>
            <w:fldChar w:fldCharType="begin"/>
          </w:r>
          <w:r>
            <w:instrText xml:space="preserve"> HYPERLINK \l "_Toc227741590" </w:instrText>
          </w:r>
          <w:r>
            <w:fldChar w:fldCharType="separate"/>
          </w:r>
          <w:r>
            <w:rPr>
              <w:rStyle w:val="38"/>
              <w:rFonts w:hint="eastAsia"/>
            </w:rPr>
            <w:t>附录</w:t>
          </w:r>
          <w:r>
            <w:rPr>
              <w:rStyle w:val="38"/>
            </w:rPr>
            <w:t xml:space="preserve">2 </w:t>
          </w:r>
          <w:r>
            <w:rPr>
              <w:rStyle w:val="38"/>
              <w:rFonts w:hint="eastAsia"/>
            </w:rPr>
            <w:t>审核时间要求</w:t>
          </w:r>
          <w:r>
            <w:tab/>
          </w:r>
          <w:r>
            <w:fldChar w:fldCharType="begin"/>
          </w:r>
          <w:r>
            <w:instrText xml:space="preserve"> PAGEREF _Toc227741590 \h </w:instrText>
          </w:r>
          <w:r>
            <w:fldChar w:fldCharType="separate"/>
          </w:r>
          <w:r>
            <w:t>22</w:t>
          </w:r>
          <w:r>
            <w:fldChar w:fldCharType="end"/>
          </w:r>
          <w:r>
            <w:fldChar w:fldCharType="end"/>
          </w:r>
        </w:p>
        <w:p w14:paraId="0C456BD2">
          <w:pPr>
            <w:pStyle w:val="23"/>
            <w:tabs>
              <w:tab w:val="right" w:leader="dot" w:pos="9856"/>
            </w:tabs>
            <w:rPr>
              <w:kern w:val="2"/>
              <w:sz w:val="21"/>
              <w:lang w:bidi="ar-SA"/>
            </w:rPr>
          </w:pPr>
          <w:r>
            <w:fldChar w:fldCharType="begin"/>
          </w:r>
          <w:r>
            <w:instrText xml:space="preserve"> HYPERLINK \l "_Toc227741591" </w:instrText>
          </w:r>
          <w:r>
            <w:fldChar w:fldCharType="separate"/>
          </w:r>
          <w:r>
            <w:rPr>
              <w:rStyle w:val="38"/>
              <w:rFonts w:hint="eastAsia"/>
            </w:rPr>
            <w:t>附录</w:t>
          </w:r>
          <w:r>
            <w:rPr>
              <w:rStyle w:val="38"/>
            </w:rPr>
            <w:t>3  IMS</w:t>
          </w:r>
          <w:r>
            <w:rPr>
              <w:rStyle w:val="38"/>
              <w:rFonts w:hint="eastAsia"/>
            </w:rPr>
            <w:t>认证证书编号规则</w:t>
          </w:r>
          <w:r>
            <w:tab/>
          </w:r>
          <w:r>
            <w:fldChar w:fldCharType="begin"/>
          </w:r>
          <w:r>
            <w:instrText xml:space="preserve"> PAGEREF _Toc227741591 \h </w:instrText>
          </w:r>
          <w:r>
            <w:fldChar w:fldCharType="separate"/>
          </w:r>
          <w:r>
            <w:t>23</w:t>
          </w:r>
          <w:r>
            <w:fldChar w:fldCharType="end"/>
          </w:r>
          <w:r>
            <w:fldChar w:fldCharType="end"/>
          </w:r>
        </w:p>
        <w:p w14:paraId="451133D1">
          <w:pPr>
            <w:pStyle w:val="23"/>
            <w:tabs>
              <w:tab w:val="right" w:leader="dot" w:pos="9856"/>
            </w:tabs>
            <w:rPr>
              <w:kern w:val="2"/>
              <w:sz w:val="21"/>
              <w:lang w:bidi="ar-SA"/>
            </w:rPr>
          </w:pPr>
          <w:r>
            <w:fldChar w:fldCharType="begin"/>
          </w:r>
          <w:r>
            <w:instrText xml:space="preserve"> HYPERLINK \l "_Toc227741592" </w:instrText>
          </w:r>
          <w:r>
            <w:fldChar w:fldCharType="separate"/>
          </w:r>
          <w:r>
            <w:rPr>
              <w:rStyle w:val="38"/>
              <w:rFonts w:hint="eastAsia"/>
            </w:rPr>
            <w:t>附录</w:t>
          </w:r>
          <w:r>
            <w:rPr>
              <w:rStyle w:val="38"/>
            </w:rPr>
            <w:t>4</w:t>
          </w:r>
          <w:r>
            <w:rPr>
              <w:rStyle w:val="38"/>
              <w:rFonts w:hAnsi="Times New Roman"/>
            </w:rPr>
            <w:t xml:space="preserve">  </w:t>
          </w:r>
          <w:r>
            <w:rPr>
              <w:rStyle w:val="38"/>
              <w:rFonts w:hint="eastAsia" w:hAnsi="Times New Roman"/>
            </w:rPr>
            <w:t>更改控制页</w:t>
          </w:r>
          <w:r>
            <w:tab/>
          </w:r>
          <w:r>
            <w:fldChar w:fldCharType="begin"/>
          </w:r>
          <w:r>
            <w:instrText xml:space="preserve"> PAGEREF _Toc227741592 \h </w:instrText>
          </w:r>
          <w:r>
            <w:fldChar w:fldCharType="separate"/>
          </w:r>
          <w:r>
            <w:t>24</w:t>
          </w:r>
          <w:r>
            <w:fldChar w:fldCharType="end"/>
          </w:r>
          <w:r>
            <w:fldChar w:fldCharType="end"/>
          </w:r>
        </w:p>
        <w:p w14:paraId="7D5AE93C">
          <w:pPr>
            <w:rPr>
              <w:sz w:val="24"/>
              <w:szCs w:val="24"/>
            </w:rPr>
          </w:pPr>
          <w:r>
            <w:rPr>
              <w:b/>
              <w:bCs/>
              <w:sz w:val="24"/>
              <w:szCs w:val="24"/>
              <w:lang w:val="zh-CN"/>
            </w:rPr>
            <w:fldChar w:fldCharType="end"/>
          </w:r>
        </w:p>
      </w:sdtContent>
    </w:sdt>
    <w:p w14:paraId="3E38E0FE">
      <w:pPr>
        <w:spacing w:after="0"/>
        <w:jc w:val="center"/>
        <w:rPr>
          <w:rFonts w:ascii="宋体" w:hAnsi="宋体"/>
          <w:b/>
          <w:color w:val="000000"/>
          <w:sz w:val="32"/>
          <w:szCs w:val="32"/>
          <w:lang w:eastAsia="zh-CN"/>
        </w:rPr>
      </w:pPr>
      <w:r>
        <w:rPr>
          <w:rFonts w:ascii="宋体" w:hAnsi="宋体"/>
          <w:b/>
          <w:color w:val="000000"/>
          <w:sz w:val="32"/>
          <w:szCs w:val="32"/>
          <w:lang w:eastAsia="zh-CN"/>
        </w:rPr>
        <w:br w:type="page"/>
      </w:r>
      <w:r>
        <w:rPr>
          <w:rFonts w:hint="eastAsia" w:ascii="宋体" w:hAnsi="宋体"/>
          <w:b/>
          <w:color w:val="000000"/>
          <w:sz w:val="32"/>
          <w:szCs w:val="32"/>
          <w:lang w:eastAsia="zh-CN"/>
        </w:rPr>
        <w:t>企业诚信管理体系认证实施规则</w:t>
      </w:r>
    </w:p>
    <w:p w14:paraId="24495E65">
      <w:pPr>
        <w:pStyle w:val="2"/>
        <w:spacing w:beforeLines="50"/>
        <w:rPr>
          <w:rFonts w:ascii="Times New Roman" w:hAnsi="Times New Roman" w:cs="Times New Roman" w:eastAsiaTheme="minorEastAsia"/>
          <w:lang w:eastAsia="zh-CN"/>
        </w:rPr>
      </w:pPr>
      <w:bookmarkStart w:id="2" w:name="_Toc227741565"/>
      <w:r>
        <w:rPr>
          <w:rFonts w:ascii="Times New Roman" w:hAnsi="Times New Roman" w:cs="Times New Roman" w:eastAsiaTheme="minorEastAsia"/>
          <w:lang w:eastAsia="zh-CN"/>
        </w:rPr>
        <w:t xml:space="preserve">1 </w:t>
      </w:r>
      <w:r>
        <w:rPr>
          <w:rFonts w:ascii="Times New Roman" w:cs="Times New Roman" w:hAnsiTheme="minorEastAsia" w:eastAsiaTheme="minorEastAsia"/>
          <w:lang w:eastAsia="zh-CN"/>
        </w:rPr>
        <w:t>适用范围</w:t>
      </w:r>
      <w:bookmarkEnd w:id="2"/>
      <w:r>
        <w:rPr>
          <w:rFonts w:ascii="Times New Roman" w:hAnsi="Times New Roman" w:cs="Times New Roman" w:eastAsiaTheme="minorEastAsia"/>
          <w:lang w:eastAsia="zh-CN"/>
        </w:rPr>
        <w:t xml:space="preserve"> </w:t>
      </w:r>
    </w:p>
    <w:p w14:paraId="2C47FFFA">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1为规范企业诚信管理体系（以下简称：IMS）认证活动，根据《中华人民共和国认证认可条例》和《认证机构管理办法》等法律法规，标普国际认证（深圳）有限责任公司（以下简称：S&amp;P或公司）结合相关技术标准制定本规则。</w:t>
      </w:r>
    </w:p>
    <w:p w14:paraId="5C2AABDA">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2本规则规定了实施IMS认证的程序与管理的基本要求，是从事IMS认证活动的基本依据。</w:t>
      </w:r>
    </w:p>
    <w:p w14:paraId="73620726">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3在中华人民共和国境内从事IMS认证活动应遵守《中华人民共和国认证认可条例》《认证机构管理办法》及本规则。</w:t>
      </w:r>
    </w:p>
    <w:p w14:paraId="4313CF72">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4认证机构遵守本规则的规定，并不意味着可免除其所承担的法律责任。</w:t>
      </w:r>
    </w:p>
    <w:p w14:paraId="40F79C65">
      <w:pPr>
        <w:pStyle w:val="2"/>
        <w:spacing w:beforeLines="50"/>
        <w:rPr>
          <w:rFonts w:ascii="Times New Roman" w:hAnsi="Times New Roman" w:cs="Times New Roman" w:eastAsiaTheme="minorEastAsia"/>
          <w:lang w:eastAsia="zh-CN"/>
        </w:rPr>
      </w:pPr>
      <w:bookmarkStart w:id="3" w:name="_Toc227741566"/>
      <w:r>
        <w:rPr>
          <w:rFonts w:ascii="Times New Roman" w:hAnsi="Times New Roman" w:cs="Times New Roman" w:eastAsiaTheme="minorEastAsia"/>
          <w:lang w:eastAsia="zh-CN"/>
        </w:rPr>
        <w:t>2</w:t>
      </w:r>
      <w:r>
        <w:rPr>
          <w:rFonts w:hint="eastAsia" w:ascii="Times New Roman" w:cs="Times New Roman" w:hAnsiTheme="minorEastAsia" w:eastAsiaTheme="minorEastAsia"/>
          <w:lang w:eastAsia="zh-CN"/>
        </w:rPr>
        <w:t>认证依据</w:t>
      </w:r>
      <w:bookmarkEnd w:id="3"/>
    </w:p>
    <w:p w14:paraId="5116C223">
      <w:pPr>
        <w:snapToGrid w:val="0"/>
        <w:spacing w:beforeLines="50" w:after="0"/>
        <w:ind w:firstLine="458" w:firstLineChars="196"/>
        <w:rPr>
          <w:rFonts w:ascii="Times New Roman" w:hAnsi="Times New Roman" w:cs="Times New Roman"/>
          <w:color w:val="000000"/>
          <w:sz w:val="24"/>
          <w:szCs w:val="24"/>
          <w:lang w:eastAsia="zh-CN"/>
        </w:rPr>
      </w:pPr>
      <w:r>
        <w:rPr>
          <w:rFonts w:hint="eastAsia" w:ascii="Times New Roman" w:hAnsi="Times New Roman" w:cs="Times New Roman"/>
          <w:spacing w:val="-3"/>
          <w:sz w:val="24"/>
          <w:szCs w:val="24"/>
          <w:lang w:eastAsia="zh-CN"/>
        </w:rPr>
        <w:t>《企业诚信管理体系 要求》（GB/T 31950）</w:t>
      </w:r>
    </w:p>
    <w:p w14:paraId="49240575">
      <w:pPr>
        <w:pStyle w:val="2"/>
        <w:spacing w:beforeLines="50"/>
        <w:rPr>
          <w:rFonts w:ascii="Times New Roman" w:hAnsi="Times New Roman" w:cs="Times New Roman" w:eastAsiaTheme="minorEastAsia"/>
          <w:lang w:eastAsia="zh-CN"/>
        </w:rPr>
      </w:pPr>
      <w:bookmarkStart w:id="4" w:name="_Toc227741567"/>
      <w:r>
        <w:rPr>
          <w:rFonts w:ascii="Times New Roman" w:hAnsi="Times New Roman" w:cs="Times New Roman" w:eastAsiaTheme="minorEastAsia"/>
          <w:lang w:eastAsia="zh-CN"/>
        </w:rPr>
        <w:t>3</w:t>
      </w:r>
      <w:r>
        <w:rPr>
          <w:rFonts w:hint="eastAsia" w:ascii="Times New Roman" w:cs="Times New Roman" w:hAnsiTheme="minorEastAsia" w:eastAsiaTheme="minorEastAsia"/>
          <w:lang w:eastAsia="zh-CN"/>
        </w:rPr>
        <w:t>对认证机构的基本要求</w:t>
      </w:r>
      <w:bookmarkEnd w:id="4"/>
    </w:p>
    <w:p w14:paraId="61B4849D">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1获得国家认证认可监督管理委员会（以下简称国家认监委）批准取得相应认证领域资质，国家认监委尚未制定或者尚未会同国务院有关部门制定发布，S&amp;P自行制定认证规则。</w:t>
      </w:r>
    </w:p>
    <w:p w14:paraId="3AB9CA7F">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2开展认证活动，应当围绕国家经济和社会发展目标，重点服务于经济社会高质量发展，不得影响国家安全和社会公共利益，不得违背社会公序良俗。</w:t>
      </w:r>
    </w:p>
    <w:p w14:paraId="6685B4C0">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3.3 </w:t>
      </w:r>
      <w:r>
        <w:rPr>
          <w:rFonts w:hint="eastAsia" w:ascii="Times New Roman" w:cs="Times New Roman" w:hAnsiTheme="minorEastAsia"/>
          <w:color w:val="000000"/>
          <w:sz w:val="24"/>
          <w:szCs w:val="24"/>
          <w:lang w:eastAsia="zh-CN"/>
        </w:rPr>
        <w:t>S&amp;P内部管理和认证活动符合《合格评定 管理体系审核认证机构要求 第1部分：要求》，确保持续满足开展认证的基本要求。</w:t>
      </w:r>
    </w:p>
    <w:p w14:paraId="3A1B206E">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3.4 </w:t>
      </w:r>
      <w:r>
        <w:rPr>
          <w:rFonts w:hint="eastAsia" w:ascii="Times New Roman" w:cs="Times New Roman" w:hAnsiTheme="minorEastAsia"/>
          <w:color w:val="000000"/>
          <w:sz w:val="24"/>
          <w:szCs w:val="24"/>
          <w:lang w:eastAsia="zh-CN"/>
        </w:rPr>
        <w:t>S&amp;P建立风险防范机制，对从事认证活动可能引发的风险和责任采取合理有效措施。S&amp;P应能证明其已对认证活动引发的风险进行了评估，对引发的责任做出了充分安排（如保险或储备金）。</w:t>
      </w:r>
    </w:p>
    <w:p w14:paraId="7EB005D7">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3.5 </w:t>
      </w:r>
      <w:r>
        <w:rPr>
          <w:rFonts w:hint="eastAsia" w:ascii="Times New Roman" w:cs="Times New Roman" w:hAnsiTheme="minorEastAsia"/>
          <w:color w:val="000000"/>
          <w:sz w:val="24"/>
          <w:szCs w:val="24"/>
          <w:lang w:eastAsia="zh-CN"/>
        </w:rPr>
        <w:t>S&amp;P建立认证人员管理制度，明确认证人员的能力准则、选择条件、聘用和评价程序，以及能力提升机制。确保从事IMS的人员持续具备相应职业素养和能力。</w:t>
      </w:r>
    </w:p>
    <w:p w14:paraId="3B890948">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3.6在拟开展的IMS认证业务范围（认证业务范围分类见附录1表），具备 2名（含）以上专业领域审核员。S&amp;P结合认证业务范围识别相关专业的学历和专业质量技术工作经历，相应认证业务范围的专业领域审核员，应具备如下条件之一：</w:t>
      </w:r>
    </w:p>
    <w:p w14:paraId="47A8495B">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）具有相关专业大专（含）以上学历：在认证业务范围具有至少</w:t>
      </w:r>
      <w:r>
        <w:rPr>
          <w:rFonts w:ascii="Times New Roman" w:cs="Times New Roman" w:hAnsiTheme="minorEastAsia"/>
          <w:color w:val="000000"/>
          <w:sz w:val="24"/>
          <w:szCs w:val="24"/>
          <w:lang w:eastAsia="zh-CN"/>
        </w:rPr>
        <w:t xml:space="preserve">1 </w:t>
      </w:r>
      <w:r>
        <w:rPr>
          <w:rFonts w:hint="eastAsia" w:ascii="Times New Roman" w:cs="Times New Roman" w:hAnsiTheme="minorEastAsia"/>
          <w:color w:val="000000"/>
          <w:sz w:val="24"/>
          <w:szCs w:val="24"/>
          <w:lang w:eastAsia="zh-CN"/>
        </w:rPr>
        <w:t>年（含）以上该专业的质量技术工作经历；</w:t>
      </w:r>
    </w:p>
    <w:p w14:paraId="57D6917E">
      <w:pPr>
        <w:snapToGrid w:val="0"/>
        <w:spacing w:beforeLines="50" w:after="0"/>
        <w:ind w:firstLine="420" w:firstLineChars="200"/>
        <w:rPr>
          <w:rFonts w:ascii="Times New Roman" w:cs="Times New Roman" w:hAnsiTheme="minorEastAsia"/>
          <w:color w:val="000000"/>
          <w:sz w:val="21"/>
          <w:szCs w:val="21"/>
          <w:lang w:eastAsia="zh-CN"/>
        </w:rPr>
      </w:pPr>
      <w:r>
        <w:rPr>
          <w:rFonts w:hint="eastAsia" w:ascii="Times New Roman" w:cs="Times New Roman" w:hAnsiTheme="minorEastAsia"/>
          <w:color w:val="000000"/>
          <w:sz w:val="21"/>
          <w:szCs w:val="21"/>
          <w:lang w:eastAsia="zh-CN"/>
        </w:rPr>
        <w:t>注</w:t>
      </w:r>
      <w:r>
        <w:rPr>
          <w:rFonts w:ascii="Times New Roman" w:cs="Times New Roman" w:hAnsiTheme="minorEastAsia"/>
          <w:color w:val="000000"/>
          <w:sz w:val="21"/>
          <w:szCs w:val="21"/>
          <w:lang w:eastAsia="zh-CN"/>
        </w:rPr>
        <w:t>1</w:t>
      </w:r>
      <w:r>
        <w:rPr>
          <w:rFonts w:hint="eastAsia" w:ascii="Times New Roman" w:cs="Times New Roman" w:hAnsiTheme="minorEastAsia"/>
          <w:color w:val="000000"/>
          <w:sz w:val="21"/>
          <w:szCs w:val="21"/>
          <w:lang w:eastAsia="zh-CN"/>
        </w:rPr>
        <w:t>：相关专业是指与认证业务范围类别专业知识相关的教育经历。</w:t>
      </w:r>
    </w:p>
    <w:p w14:paraId="78436A1B">
      <w:pPr>
        <w:snapToGrid w:val="0"/>
        <w:spacing w:beforeLines="50" w:after="0"/>
        <w:ind w:firstLine="420" w:firstLineChars="200"/>
        <w:rPr>
          <w:rFonts w:ascii="Times New Roman" w:cs="Times New Roman" w:hAnsiTheme="minorEastAsia"/>
          <w:color w:val="000000"/>
          <w:sz w:val="21"/>
          <w:szCs w:val="21"/>
          <w:lang w:eastAsia="zh-CN"/>
        </w:rPr>
      </w:pPr>
      <w:r>
        <w:rPr>
          <w:rFonts w:hint="eastAsia" w:ascii="Times New Roman" w:cs="Times New Roman" w:hAnsiTheme="minorEastAsia"/>
          <w:color w:val="000000"/>
          <w:sz w:val="21"/>
          <w:szCs w:val="21"/>
          <w:lang w:eastAsia="zh-CN"/>
        </w:rPr>
        <w:t>注</w:t>
      </w:r>
      <w:r>
        <w:rPr>
          <w:rFonts w:ascii="Times New Roman" w:cs="Times New Roman" w:hAnsiTheme="minorEastAsia"/>
          <w:color w:val="000000"/>
          <w:sz w:val="21"/>
          <w:szCs w:val="21"/>
          <w:lang w:eastAsia="zh-CN"/>
        </w:rPr>
        <w:t>2</w:t>
      </w:r>
      <w:r>
        <w:rPr>
          <w:rFonts w:hint="eastAsia" w:ascii="Times New Roman" w:cs="Times New Roman" w:hAnsiTheme="minorEastAsia"/>
          <w:color w:val="000000"/>
          <w:sz w:val="21"/>
          <w:szCs w:val="21"/>
          <w:lang w:eastAsia="zh-CN"/>
        </w:rPr>
        <w:t>：质量技术工作包括产品和服务的设计、生产、工艺设计、检测、质量管理、教学、科研等。</w:t>
      </w:r>
    </w:p>
    <w:p w14:paraId="763A49F9">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2</w:t>
      </w:r>
      <w:r>
        <w:rPr>
          <w:rFonts w:hint="eastAsia" w:ascii="Times New Roman" w:cs="Times New Roman" w:hAnsiTheme="minorEastAsia"/>
          <w:color w:val="000000"/>
          <w:sz w:val="24"/>
          <w:szCs w:val="24"/>
          <w:lang w:eastAsia="zh-CN"/>
        </w:rPr>
        <w:t>）具有非相关专业大专（含）以上学历：在认证业务范围具有</w:t>
      </w:r>
      <w:r>
        <w:rPr>
          <w:rFonts w:ascii="Times New Roman" w:cs="Times New Roman" w:hAnsiTheme="minorEastAsia"/>
          <w:color w:val="000000"/>
          <w:sz w:val="24"/>
          <w:szCs w:val="24"/>
          <w:lang w:eastAsia="zh-CN"/>
        </w:rPr>
        <w:t xml:space="preserve">3 </w:t>
      </w:r>
      <w:r>
        <w:rPr>
          <w:rFonts w:hint="eastAsia" w:ascii="Times New Roman" w:cs="Times New Roman" w:hAnsiTheme="minorEastAsia"/>
          <w:color w:val="000000"/>
          <w:sz w:val="24"/>
          <w:szCs w:val="24"/>
          <w:lang w:eastAsia="zh-CN"/>
        </w:rPr>
        <w:t>年（含）以上相关专业的质量技术工作经历；</w:t>
      </w:r>
    </w:p>
    <w:p w14:paraId="07C34C3F">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）具有该认证业务范围的专业中级（含）以上技术职称，</w:t>
      </w:r>
    </w:p>
    <w:p w14:paraId="1CE807BF">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）取得正式审核员注册资格后，参加该认证业务范围质量专业技术培训且考核合格，并且在IMS</w:t>
      </w:r>
      <w:r>
        <w:rPr>
          <w:rFonts w:ascii="Times New Roman" w:cs="Times New Roman" w:hAnsiTheme="minorEastAsia"/>
          <w:color w:val="000000"/>
          <w:sz w:val="24"/>
          <w:szCs w:val="24"/>
          <w:lang w:eastAsia="zh-CN"/>
        </w:rPr>
        <w:t xml:space="preserve"> </w:t>
      </w:r>
      <w:r>
        <w:rPr>
          <w:rFonts w:hint="eastAsia" w:ascii="Times New Roman" w:cs="Times New Roman" w:hAnsiTheme="minorEastAsia"/>
          <w:color w:val="000000"/>
          <w:sz w:val="24"/>
          <w:szCs w:val="24"/>
          <w:lang w:eastAsia="zh-CN"/>
        </w:rPr>
        <w:t>专业领域审核员或技术专家的指导下完成一定数量的IMS专业审核活动：该认证业务范围不少于</w:t>
      </w:r>
      <w:r>
        <w:rPr>
          <w:rFonts w:ascii="Times New Roman" w:cs="Times New Roman" w:hAnsiTheme="minorEastAsia"/>
          <w:color w:val="000000"/>
          <w:sz w:val="24"/>
          <w:szCs w:val="24"/>
          <w:lang w:eastAsia="zh-CN"/>
        </w:rPr>
        <w:t xml:space="preserve">4 </w:t>
      </w:r>
      <w:r>
        <w:rPr>
          <w:rFonts w:hint="eastAsia" w:ascii="Times New Roman" w:cs="Times New Roman" w:hAnsiTheme="minorEastAsia"/>
          <w:color w:val="000000"/>
          <w:sz w:val="24"/>
          <w:szCs w:val="24"/>
          <w:lang w:eastAsia="zh-CN"/>
        </w:rPr>
        <w:t>次</w:t>
      </w:r>
      <w:r>
        <w:rPr>
          <w:rFonts w:ascii="Times New Roman" w:cs="Times New Roman" w:hAnsiTheme="minorEastAsia"/>
          <w:color w:val="000000"/>
          <w:sz w:val="24"/>
          <w:szCs w:val="24"/>
          <w:lang w:eastAsia="zh-CN"/>
        </w:rPr>
        <w:t xml:space="preserve">10 </w:t>
      </w:r>
      <w:r>
        <w:rPr>
          <w:rFonts w:hint="eastAsia" w:ascii="Times New Roman" w:cs="Times New Roman" w:hAnsiTheme="minorEastAsia"/>
          <w:color w:val="000000"/>
          <w:sz w:val="24"/>
          <w:szCs w:val="24"/>
          <w:lang w:eastAsia="zh-CN"/>
        </w:rPr>
        <w:t>个现场审核人日；</w:t>
      </w:r>
    </w:p>
    <w:p w14:paraId="783E0793">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5</w:t>
      </w:r>
      <w:r>
        <w:rPr>
          <w:rFonts w:hint="eastAsia" w:ascii="Times New Roman" w:cs="Times New Roman" w:hAnsiTheme="minorEastAsia"/>
          <w:color w:val="000000"/>
          <w:sz w:val="24"/>
          <w:szCs w:val="24"/>
          <w:lang w:eastAsia="zh-CN"/>
        </w:rPr>
        <w:t>）作为项目主要参加人，在该专业完成至少1项质量标准（应用于相应行业</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过程的质量控制标准）的制定、科研和设计开发等质量技术工作。</w:t>
      </w:r>
    </w:p>
    <w:p w14:paraId="67AB3106">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7应对其认证活动的公正性负责，不允许商业、财务或其他压力损害公正性。如：不得将申请认证的组织（以下简称“认证委托人”）是否获得认证与参与认证审核的审核员及其他人员的薪酬挂钩。</w:t>
      </w:r>
    </w:p>
    <w:p w14:paraId="6C8D8FD3">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8对认证活动中所知悉的国家秘密、商业秘密负有保密义务。应通过在法律上具有强制实施力的协议，确保认证活动中所获得的信息在未经认证委托人书面同意的情况下，不向第三方透漏，认证行政监管有要求的除外。</w:t>
      </w:r>
    </w:p>
    <w:p w14:paraId="54196672">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9应对认证活动的真实性、有效性负责，加强认证人员的管理及素质、能力提升，合理安排审核员的工作量。每个审核员参加管理体系现场审核时间的总和不应超过180天/周期年。</w:t>
      </w:r>
    </w:p>
    <w:p w14:paraId="6F1B4577">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3.10 </w:t>
      </w:r>
      <w:r>
        <w:rPr>
          <w:rFonts w:hint="eastAsia" w:ascii="Times New Roman" w:cs="Times New Roman" w:hAnsiTheme="minorEastAsia"/>
          <w:color w:val="000000"/>
          <w:sz w:val="24"/>
          <w:szCs w:val="24"/>
          <w:lang w:eastAsia="zh-CN"/>
        </w:rPr>
        <w:t>S&amp;P有效认证证书的数量应与审核员数量相匹配，人均每个审核员匹配的管理体系有效认证证书总数不应超过50张/周期年。</w:t>
      </w:r>
    </w:p>
    <w:p w14:paraId="47463695">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 xml:space="preserve">3.11不得委派无IMS资格的审核员开展IMS认证审核活动。 </w:t>
      </w:r>
    </w:p>
    <w:p w14:paraId="29DE5A12">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12不得以“认证证书在国家认监委网站可查”或近似表述进行广告宣传。</w:t>
      </w:r>
    </w:p>
    <w:p w14:paraId="764F25C8">
      <w:pPr>
        <w:pStyle w:val="2"/>
        <w:spacing w:beforeLines="50"/>
        <w:rPr>
          <w:rFonts w:ascii="Times New Roman" w:hAnsi="Times New Roman" w:cs="Times New Roman" w:eastAsiaTheme="minorEastAsia"/>
          <w:lang w:eastAsia="zh-CN"/>
        </w:rPr>
      </w:pPr>
      <w:bookmarkStart w:id="5" w:name="_Toc227741568"/>
      <w:r>
        <w:rPr>
          <w:rFonts w:ascii="Times New Roman" w:hAnsi="Times New Roman" w:cs="Times New Roman" w:eastAsiaTheme="minorEastAsia"/>
          <w:lang w:eastAsia="zh-CN"/>
        </w:rPr>
        <w:t>4</w:t>
      </w:r>
      <w:r>
        <w:rPr>
          <w:rFonts w:hint="eastAsia" w:ascii="Times New Roman" w:cs="Times New Roman" w:hAnsiTheme="minorEastAsia" w:eastAsiaTheme="minorEastAsia"/>
          <w:lang w:eastAsia="zh-CN"/>
        </w:rPr>
        <w:t>对认证人员的基本要求</w:t>
      </w:r>
      <w:bookmarkEnd w:id="5"/>
    </w:p>
    <w:p w14:paraId="1D460D37">
      <w:pPr>
        <w:snapToGrid w:val="0"/>
        <w:spacing w:beforeLines="50" w:after="0"/>
        <w:rPr>
          <w:rFonts w:ascii="Times New Roman" w:cs="Times New Roman" w:hAnsiTheme="minorEastAsia"/>
          <w:sz w:val="24"/>
          <w:szCs w:val="24"/>
          <w:lang w:eastAsia="zh-CN"/>
        </w:rPr>
      </w:pPr>
      <w:r>
        <w:rPr>
          <w:rFonts w:ascii="Times New Roman" w:cs="Times New Roman" w:hAnsiTheme="minorEastAsia"/>
          <w:sz w:val="24"/>
          <w:szCs w:val="24"/>
          <w:lang w:eastAsia="zh-CN"/>
        </w:rPr>
        <w:t>4.</w:t>
      </w:r>
      <w:r>
        <w:rPr>
          <w:rFonts w:hint="eastAsia" w:ascii="Times New Roman" w:cs="Times New Roman" w:hAnsiTheme="minorEastAsia"/>
          <w:sz w:val="24"/>
          <w:szCs w:val="24"/>
          <w:lang w:eastAsia="zh-CN"/>
        </w:rPr>
        <w:t>1遵守认证认可相关法律法规、部门规章及规范性文件的要求，具有从事认证工作的基本职业操守，对认证活动及其结果的真实性和有效性承担相应责任。认证管理人员包括机构主要业务主管负责人、合同评审员、审核方案策划人员、人员能力评价人员、审核实施人员和认证决定人员等。</w:t>
      </w:r>
    </w:p>
    <w:p w14:paraId="58EBFF94">
      <w:pPr>
        <w:snapToGrid w:val="0"/>
        <w:spacing w:beforeLines="50" w:after="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4.1.1 掌握GB/T 31950-2023《企业诚信管理体系 要求》标准知识;</w:t>
      </w:r>
    </w:p>
    <w:p w14:paraId="0270FC88">
      <w:pPr>
        <w:snapToGrid w:val="0"/>
        <w:spacing w:beforeLines="50" w:after="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4.1.2 掌握相应管理岗位所涉及机构认证过程知识，包括但不限于GBT27021.1-2017要求;</w:t>
      </w:r>
    </w:p>
    <w:p w14:paraId="75BBDB2A">
      <w:pPr>
        <w:snapToGrid w:val="0"/>
        <w:spacing w:beforeLines="50" w:after="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4.1.3 客户的业务领域的知识和客户产品/过程和组织的知识(专业能力)--见3.6条款.</w:t>
      </w:r>
    </w:p>
    <w:p w14:paraId="74C19375">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2审核员应取得国家认监委确定的认证人员注册机构批准的任一管理体系审核员注册资格，并经S&amp;P评价合格。</w:t>
      </w:r>
    </w:p>
    <w:p w14:paraId="79D6BE71">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4.3审核员不得接受超出其注册资格的认证审核任务。</w:t>
      </w:r>
    </w:p>
    <w:p w14:paraId="69F72968">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4不得发生影响认证公正性的行为，应主动告知认证机构其所了解的任何可能使本人或认证机构陷入利益冲突的情况。因认证人员未履行告知义务而导致非公正性认证结果的，认证人员应当负有连带责任（如承担因此造成的经济损失）。</w:t>
      </w:r>
    </w:p>
    <w:p w14:paraId="71F621DD">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5按要求接受人员注册/保持注册所要求的继续教育培训，以及认证机构要求的能力（包括知识和技能）提升活动，以持续具备从事认证工作相适宜的能力。</w:t>
      </w:r>
    </w:p>
    <w:p w14:paraId="0C4D2A7D">
      <w:pPr>
        <w:pStyle w:val="2"/>
        <w:spacing w:beforeLines="50"/>
        <w:rPr>
          <w:rFonts w:ascii="Times New Roman" w:hAnsi="Times New Roman" w:cs="Times New Roman" w:eastAsiaTheme="minorEastAsia"/>
          <w:lang w:eastAsia="zh-CN"/>
        </w:rPr>
      </w:pPr>
      <w:bookmarkStart w:id="6" w:name="_Toc227741569"/>
      <w:r>
        <w:rPr>
          <w:rFonts w:ascii="Times New Roman" w:hAnsi="Times New Roman" w:cs="Times New Roman" w:eastAsiaTheme="minorEastAsia"/>
          <w:lang w:eastAsia="zh-CN"/>
        </w:rPr>
        <w:t>5</w:t>
      </w:r>
      <w:r>
        <w:rPr>
          <w:rFonts w:hint="eastAsia" w:ascii="Times New Roman" w:cs="Times New Roman" w:hAnsiTheme="minorEastAsia" w:eastAsiaTheme="minorEastAsia"/>
          <w:lang w:eastAsia="zh-CN"/>
        </w:rPr>
        <w:t>认证程序</w:t>
      </w:r>
      <w:bookmarkEnd w:id="6"/>
    </w:p>
    <w:p w14:paraId="4D3B5A71">
      <w:pPr>
        <w:pStyle w:val="3"/>
        <w:spacing w:beforeLines="50"/>
        <w:rPr>
          <w:rFonts w:ascii="Times New Roman" w:hAnsi="Times New Roman" w:cs="Times New Roman" w:eastAsiaTheme="minorEastAsia"/>
          <w:lang w:eastAsia="zh-CN"/>
        </w:rPr>
      </w:pPr>
      <w:bookmarkStart w:id="7" w:name="_Toc227741570"/>
      <w:r>
        <w:rPr>
          <w:rFonts w:ascii="Times New Roman" w:hAnsi="Times New Roman" w:cs="Times New Roman" w:eastAsiaTheme="minorEastAsia"/>
          <w:lang w:eastAsia="zh-CN"/>
        </w:rPr>
        <w:t>5.1</w:t>
      </w:r>
      <w:r>
        <w:rPr>
          <w:rFonts w:hint="eastAsia" w:ascii="Times New Roman" w:cs="Times New Roman" w:hAnsiTheme="minorEastAsia" w:eastAsiaTheme="minorEastAsia"/>
          <w:lang w:eastAsia="zh-CN"/>
        </w:rPr>
        <w:t>认证申请</w:t>
      </w:r>
      <w:bookmarkEnd w:id="7"/>
    </w:p>
    <w:p w14:paraId="32981F73">
      <w:pPr>
        <w:snapToGrid w:val="0"/>
        <w:spacing w:beforeLines="50" w:after="0"/>
        <w:rPr>
          <w:rFonts w:ascii="Times New Roman" w:hAnsi="Times New Roman" w:cs="Times New Roman"/>
          <w:color w:val="000000"/>
          <w:sz w:val="24"/>
          <w:szCs w:val="24"/>
          <w:lang w:eastAsia="zh-CN"/>
        </w:rPr>
      </w:pPr>
      <w:r>
        <w:rPr>
          <w:rFonts w:ascii="Times New Roman" w:hAnsi="Times New Roman" w:cs="Times New Roman"/>
          <w:color w:val="000000"/>
          <w:sz w:val="24"/>
          <w:szCs w:val="24"/>
          <w:lang w:eastAsia="zh-CN"/>
        </w:rPr>
        <w:t xml:space="preserve">5.1.1 </w:t>
      </w:r>
      <w:r>
        <w:rPr>
          <w:rFonts w:hint="eastAsia" w:ascii="Times New Roman" w:hAnsi="Times New Roman" w:cs="Times New Roman"/>
          <w:color w:val="000000"/>
          <w:sz w:val="24"/>
          <w:szCs w:val="24"/>
          <w:lang w:eastAsia="zh-CN"/>
        </w:rPr>
        <w:t>S&amp;P应向认证委托人至少公开以下信息：</w:t>
      </w:r>
    </w:p>
    <w:p w14:paraId="4CB82135">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（1）可开展的认证业务范围，获得认可的情况，以及分包境外认证机构业务的情况；</w:t>
      </w:r>
    </w:p>
    <w:p w14:paraId="660A65AA">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（2）开展认证活动所依据的认证标准以及相关的认证方案、认证流程；</w:t>
      </w:r>
    </w:p>
    <w:p w14:paraId="7E28BE78">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（3）授予、拒绝、保持、更新、暂停（恢复）、注销、撤销认证证书以及扩大或缩小认证范围的程序规定；</w:t>
      </w:r>
    </w:p>
    <w:p w14:paraId="26701F8D">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（4）拟向认证委托人获取的信息以及保密规定；</w:t>
      </w:r>
    </w:p>
    <w:p w14:paraId="7AF34A04">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（5）认证收费标准；</w:t>
      </w:r>
    </w:p>
    <w:p w14:paraId="0E25A6BC">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（6）认证证书、认证标志及相关的使用规定；</w:t>
      </w:r>
    </w:p>
    <w:p w14:paraId="7238A745">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（7）对认证过程和结果的申诉、投诉规定；</w:t>
      </w:r>
    </w:p>
    <w:p w14:paraId="3D346FB0">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（8）认证标准换版的规定（适用时）；</w:t>
      </w:r>
    </w:p>
    <w:p w14:paraId="5B375A09">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（9）“提前较短时间通知的审核”的情形；</w:t>
      </w:r>
    </w:p>
    <w:p w14:paraId="1FD02BF0">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（10）其他需要公开的信息。</w:t>
      </w:r>
    </w:p>
    <w:p w14:paraId="37B93633">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5.1.2提出认证申请时，认证委托人应具备以下条件：</w:t>
      </w:r>
    </w:p>
    <w:p w14:paraId="1AE5D2F4">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（1）取得合法主体资格，并处于有效期内；</w:t>
      </w:r>
    </w:p>
    <w:p w14:paraId="451F2AF5">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（2）取得相关法律法规规定的行政许可（适用时），并处于有效期内；</w:t>
      </w:r>
    </w:p>
    <w:p w14:paraId="19D889E9">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（3）已按本规则依据的认证标准建立IMS，且运行满三个月；</w:t>
      </w:r>
    </w:p>
    <w:p w14:paraId="2B42E1C3">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（4）因获证组织自身原因被原发证机构暂停或撤销认证证书已满一年（适用时）；</w:t>
      </w:r>
    </w:p>
    <w:p w14:paraId="7AC041CA">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（5）原认证证书发证机构被国家认监委撤销认证资质已满三个月（适用时）；</w:t>
      </w:r>
    </w:p>
    <w:p w14:paraId="340D443F">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（6）当前未被行政监管部门责令停产停业整顿；</w:t>
      </w:r>
    </w:p>
    <w:p w14:paraId="69BDF315">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（7）当前未列入“国家企业信用信息公示系统”和“信用中国”发布的严重违法失信名单；</w:t>
      </w:r>
    </w:p>
    <w:p w14:paraId="2DEBAF27">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（8）一年内未发生被行政监管部门责令停产停业整顿的重大事故；</w:t>
      </w:r>
    </w:p>
    <w:p w14:paraId="5B35EBAB">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（9）一年内申请认证范围内的产品未发生国家监督抽查不合格，或发生产品国家监督抽查不合格但已按相关规定整改合格；</w:t>
      </w:r>
    </w:p>
    <w:p w14:paraId="2C9B16F6">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 xml:space="preserve">（10）其他应具备的条件。 </w:t>
      </w:r>
    </w:p>
    <w:p w14:paraId="5EEE7C4C">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5.1.3 S&amp;P应要求认证委托人提供以下信息和文件资料：</w:t>
      </w:r>
    </w:p>
    <w:p w14:paraId="4CFA9784">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（1）认证申请，包括认证委托人的名称、地址、认证依据的标准、申请的认证范围、认证范围内人员数量及影响体系有效性的外包过程；</w:t>
      </w:r>
    </w:p>
    <w:p w14:paraId="6BE035EB">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（2）法律地位的证明文件，当IMS覆盖多个法律实体时，应提供每个法律实体的法律地位证明文件；</w:t>
      </w:r>
    </w:p>
    <w:p w14:paraId="2D30924C">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（3）申请认证范围所涉及的法律法规要求的行政许可文件、资质证书、强制性产品认证证书等；</w:t>
      </w:r>
    </w:p>
    <w:p w14:paraId="10DE01B4">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（4）组织机构及职责；</w:t>
      </w:r>
    </w:p>
    <w:p w14:paraId="7C26BE60">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（5）生产/服务的流程、班次及轮班情况和季节性信息；</w:t>
      </w:r>
    </w:p>
    <w:p w14:paraId="2E93A1F0">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（6）管理体系运行满三个月的证据；</w:t>
      </w:r>
    </w:p>
    <w:p w14:paraId="45631D36">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（7）一年内所发生的质量、环境、安全等事故、行政处罚、产品国家监督抽查不合格、其他抽查不合格的情况及整改情况（适用时）；</w:t>
      </w:r>
    </w:p>
    <w:p w14:paraId="65E0BD91">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（8）其他需要提供的文件。</w:t>
      </w:r>
    </w:p>
    <w:p w14:paraId="2EF830D1">
      <w:pPr>
        <w:pStyle w:val="3"/>
        <w:spacing w:beforeLines="50"/>
        <w:rPr>
          <w:rFonts w:ascii="Times New Roman" w:hAnsi="Times New Roman" w:cs="Times New Roman" w:eastAsiaTheme="minorEastAsia"/>
          <w:lang w:eastAsia="zh-CN"/>
        </w:rPr>
      </w:pPr>
      <w:bookmarkStart w:id="8" w:name="_Toc227741571"/>
      <w:r>
        <w:rPr>
          <w:rFonts w:ascii="Times New Roman" w:hAnsi="Times New Roman" w:cs="Times New Roman" w:eastAsiaTheme="minorEastAsia"/>
          <w:lang w:eastAsia="zh-CN"/>
        </w:rPr>
        <w:t>5.2</w:t>
      </w:r>
      <w:r>
        <w:rPr>
          <w:rFonts w:hint="eastAsia" w:ascii="Times New Roman" w:cs="Times New Roman" w:hAnsiTheme="minorEastAsia" w:eastAsiaTheme="minorEastAsia"/>
          <w:lang w:eastAsia="zh-CN"/>
        </w:rPr>
        <w:t>申请评审</w:t>
      </w:r>
      <w:bookmarkEnd w:id="8"/>
    </w:p>
    <w:p w14:paraId="5B545A22">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ascii="Times New Roman" w:hAnsi="Times New Roman" w:cs="Times New Roman"/>
          <w:color w:val="000000"/>
          <w:sz w:val="24"/>
          <w:szCs w:val="24"/>
          <w:lang w:eastAsia="zh-CN"/>
        </w:rPr>
        <w:t>5.</w:t>
      </w:r>
      <w:r>
        <w:rPr>
          <w:rFonts w:hint="eastAsia" w:ascii="Times New Roman" w:hAnsi="Times New Roman" w:cs="Times New Roman"/>
          <w:color w:val="000000"/>
          <w:sz w:val="24"/>
          <w:szCs w:val="24"/>
          <w:lang w:eastAsia="zh-CN"/>
        </w:rPr>
        <w:t>2.1 S&amp;P对认证委托人提交的申请信息和文件资料实施评审，仔细鉴别申请信息和文件资料的真伪，确定是否受理认证申请，并保存相应评审记录。</w:t>
      </w:r>
    </w:p>
    <w:p w14:paraId="573279DF">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5.2.2 满足以下条件的，可以受理认证申请：</w:t>
      </w:r>
    </w:p>
    <w:p w14:paraId="75982FED">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（1）认证委托人已具备受理条件（见 5.1.2）；</w:t>
      </w:r>
    </w:p>
    <w:p w14:paraId="49E27694">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（2）认证机构具备实施认证的能力；</w:t>
      </w:r>
    </w:p>
    <w:p w14:paraId="1BE0D037">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（3）双方就认证事宜达成一致。</w:t>
      </w:r>
    </w:p>
    <w:p w14:paraId="4E4985BC">
      <w:pPr>
        <w:widowControl w:val="0"/>
        <w:autoSpaceDE w:val="0"/>
        <w:autoSpaceDN w:val="0"/>
        <w:adjustRightInd w:val="0"/>
        <w:spacing w:beforeLines="50" w:after="0"/>
        <w:rPr>
          <w:rFonts w:ascii="Times New Roman" w:hAnsi="Times New Roman" w:cs="Times New Roman"/>
          <w:sz w:val="24"/>
          <w:szCs w:val="24"/>
          <w:lang w:eastAsia="zh-CN" w:bidi="ar-SA"/>
        </w:rPr>
      </w:pPr>
      <w:r>
        <w:rPr>
          <w:rFonts w:hint="eastAsia" w:ascii="Times New Roman" w:hAnsi="Times New Roman" w:cs="Times New Roman"/>
          <w:color w:val="000000"/>
          <w:sz w:val="24"/>
          <w:szCs w:val="24"/>
          <w:lang w:eastAsia="zh-CN"/>
        </w:rPr>
        <w:t>5.2.3 S&amp;P应将申请评审的结果告知认证委托人。</w:t>
      </w:r>
    </w:p>
    <w:p w14:paraId="2FC557D1">
      <w:pPr>
        <w:pStyle w:val="3"/>
        <w:rPr>
          <w:rFonts w:hAnsi="Times New Roman"/>
          <w:lang w:eastAsia="zh-CN" w:bidi="ar-SA"/>
        </w:rPr>
      </w:pPr>
      <w:bookmarkStart w:id="9" w:name="_Toc227741572"/>
      <w:r>
        <w:rPr>
          <w:rFonts w:hAnsi="Times New Roman"/>
          <w:lang w:eastAsia="zh-CN" w:bidi="ar-SA"/>
        </w:rPr>
        <w:t>5.3</w:t>
      </w:r>
      <w:r>
        <w:rPr>
          <w:rFonts w:hint="eastAsia"/>
          <w:lang w:eastAsia="zh-CN" w:bidi="ar-SA"/>
        </w:rPr>
        <w:t>认证合同及相关责任</w:t>
      </w:r>
      <w:bookmarkEnd w:id="9"/>
    </w:p>
    <w:p w14:paraId="29FC77A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3.1 通过申请评审的，S&amp;P应与每个认证委托人签订具有法律效力的认证合同，明确认证服务的费用、付费方式和违约条款，及认证委托人、认证机构和获证组织的责任。认证费用应由认证委托人向S&amp;P直接支付。 </w:t>
      </w:r>
    </w:p>
    <w:p w14:paraId="4B6B7BF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3.2 S&amp;P应及时向符合认证要求的认证委托人颁发认证证书，对获证组织IMS运行情况进行有效监督，通过网站向社会公布认证证书信息；因S&amp;P批准资质注销或被撤销导致获证组织认证证书无法有效保持的，需及时告知获证组织并做出妥善处理，并承担由此导致的获证组织在合同上约定或法律认定的经济损失。</w:t>
      </w:r>
    </w:p>
    <w:p w14:paraId="7161ECD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3.3 认证委托人应遵守认证程序要求，如实提供相关材料信息，配合认证行政监管部门的监督检查和S&amp;P对投诉的调查，及时向S&amp;P通报IMS及 5.1.2 中条件的变更情况，承担选择的认证机构资质被撤销而带来的认证活动终止、认证证书无法使用的风险。</w:t>
      </w:r>
    </w:p>
    <w:p w14:paraId="3E279C6B">
      <w:pPr>
        <w:widowControl w:val="0"/>
        <w:autoSpaceDE w:val="0"/>
        <w:autoSpaceDN w:val="0"/>
        <w:adjustRightInd w:val="0"/>
        <w:spacing w:beforeLines="50"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3.4 获证组织应遵守认证程序要求，如实提供相关材料和信息，通过认证后持续有效运行，配合认证行政监管部门的监督检查和S&amp;P对投诉的调查，在广告、宣传等活动中正确使用认证证书、认证标志和有关信息，及时向S&amp;P通报管理体系及 5.1.2 中条件的变更情况,承担选择的认证机构资质被撤销而带来的认证证书无法使用的风险。</w:t>
      </w:r>
    </w:p>
    <w:p w14:paraId="61596B0B">
      <w:pPr>
        <w:pStyle w:val="3"/>
        <w:rPr>
          <w:rFonts w:hAnsi="Times New Roman"/>
          <w:lang w:eastAsia="zh-CN" w:bidi="ar-SA"/>
        </w:rPr>
      </w:pPr>
      <w:bookmarkStart w:id="10" w:name="_Toc227741573"/>
      <w:r>
        <w:rPr>
          <w:rFonts w:hAnsi="Times New Roman"/>
          <w:lang w:eastAsia="zh-CN" w:bidi="ar-SA"/>
        </w:rPr>
        <w:t>5.4</w:t>
      </w:r>
      <w:r>
        <w:rPr>
          <w:rFonts w:hint="eastAsia"/>
          <w:lang w:eastAsia="zh-CN" w:bidi="ar-SA"/>
        </w:rPr>
        <w:t>审核方案和审核策划</w:t>
      </w:r>
      <w:bookmarkEnd w:id="10"/>
    </w:p>
    <w:p w14:paraId="3A5355B0">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ascii="Times New Roman" w:cs="Times New Roman" w:hAnsiTheme="minorEastAsia"/>
          <w:b/>
          <w:sz w:val="24"/>
          <w:szCs w:val="24"/>
          <w:lang w:eastAsia="zh-CN" w:bidi="ar-SA"/>
        </w:rPr>
        <w:t>5.</w:t>
      </w:r>
      <w:r>
        <w:rPr>
          <w:rFonts w:hint="eastAsia" w:ascii="Times New Roman" w:cs="Times New Roman" w:hAnsiTheme="minorEastAsia"/>
          <w:b/>
          <w:sz w:val="24"/>
          <w:szCs w:val="24"/>
          <w:lang w:eastAsia="zh-CN" w:bidi="ar-SA"/>
        </w:rPr>
        <w:t xml:space="preserve">4.1审核方案 </w:t>
      </w:r>
    </w:p>
    <w:p w14:paraId="6189437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4.1.1 S&amp;P对每一认证委托人建立认证周期内的审核方案，以清晰地识别所需的审核活动。</w:t>
      </w:r>
    </w:p>
    <w:p w14:paraId="679E546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4.1.2 初次认证的审核方案应包括两阶段初次认证审核、获证后的监督审核和认证到期前的再认证审核。再认证的审核方案应包括再认证审核、获证后的监督审核和认证到期前的再认证审核。</w:t>
      </w:r>
    </w:p>
    <w:p w14:paraId="2E38699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4.1.3 初次认证审核和再认证审核是对认证委托人完整体系的审核，应覆盖</w:t>
      </w:r>
      <w:r>
        <w:rPr>
          <w:rFonts w:hint="eastAsia" w:ascii="Times New Roman" w:hAnsi="Times New Roman" w:cs="Times New Roman"/>
          <w:spacing w:val="-3"/>
          <w:sz w:val="24"/>
          <w:szCs w:val="24"/>
          <w:lang w:eastAsia="zh-CN"/>
        </w:rPr>
        <w:t>GB/T 31950</w:t>
      </w:r>
      <w:r>
        <w:rPr>
          <w:rFonts w:hint="eastAsia" w:ascii="Times New Roman" w:cs="Times New Roman" w:hAnsiTheme="minorEastAsia"/>
          <w:sz w:val="24"/>
          <w:szCs w:val="24"/>
          <w:lang w:eastAsia="zh-CN" w:bidi="ar-SA"/>
        </w:rPr>
        <w:t>所有要求，以及认证范围内的典型产品和服务。认证证书有效期内的监督审核累计应覆盖</w:t>
      </w:r>
      <w:r>
        <w:rPr>
          <w:rFonts w:hint="eastAsia" w:ascii="Times New Roman" w:hAnsi="Times New Roman" w:cs="Times New Roman"/>
          <w:spacing w:val="-3"/>
          <w:sz w:val="24"/>
          <w:szCs w:val="24"/>
          <w:lang w:eastAsia="zh-CN"/>
        </w:rPr>
        <w:t>GB/T 31950</w:t>
      </w:r>
      <w:r>
        <w:rPr>
          <w:rFonts w:hint="eastAsia" w:ascii="Times New Roman" w:cs="Times New Roman" w:hAnsiTheme="minorEastAsia"/>
          <w:sz w:val="24"/>
          <w:szCs w:val="24"/>
          <w:lang w:eastAsia="zh-CN" w:bidi="ar-SA"/>
        </w:rPr>
        <w:t xml:space="preserve">所有要求。 </w:t>
      </w:r>
    </w:p>
    <w:p w14:paraId="4D48882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4.1.4初次认证及再认证后的第一次监督审核应在认证证书签发之日起 12个月内进行。此后，第二次监督审核需同时满足以下三个条件：</w:t>
      </w:r>
    </w:p>
    <w:p w14:paraId="16DC581A">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（1）距上一次监督审核的结束日期不超过</w:t>
      </w:r>
      <w:r>
        <w:rPr>
          <w:rFonts w:ascii="Times New Roman" w:cs="Times New Roman" w:hAnsiTheme="minorEastAsia"/>
          <w:sz w:val="24"/>
          <w:szCs w:val="24"/>
          <w:lang w:eastAsia="zh-CN" w:bidi="ar-SA"/>
        </w:rPr>
        <w:t>12</w:t>
      </w:r>
      <w:r>
        <w:rPr>
          <w:rFonts w:hint="eastAsia" w:ascii="Times New Roman" w:cs="Times New Roman" w:hAnsiTheme="minorEastAsia"/>
          <w:sz w:val="24"/>
          <w:szCs w:val="24"/>
          <w:lang w:eastAsia="zh-CN" w:bidi="ar-SA"/>
        </w:rPr>
        <w:t>个月，</w:t>
      </w:r>
    </w:p>
    <w:p w14:paraId="09D005A8">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（2）监督审核每个日历年需要进行</w:t>
      </w:r>
      <w:r>
        <w:rPr>
          <w:rFonts w:ascii="Times New Roman" w:cs="Times New Roman" w:hAnsiTheme="minorEastAsia"/>
          <w:sz w:val="24"/>
          <w:szCs w:val="24"/>
          <w:lang w:eastAsia="zh-CN" w:bidi="ar-SA"/>
        </w:rPr>
        <w:t>1</w:t>
      </w:r>
      <w:r>
        <w:rPr>
          <w:rFonts w:hint="eastAsia" w:ascii="Times New Roman" w:cs="Times New Roman" w:hAnsiTheme="minorEastAsia"/>
          <w:sz w:val="24"/>
          <w:szCs w:val="24"/>
          <w:lang w:eastAsia="zh-CN" w:bidi="ar-SA"/>
        </w:rPr>
        <w:t>次，</w:t>
      </w:r>
    </w:p>
    <w:p w14:paraId="32721349">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（3）第二次监督审核距认证证书签发之日不超过</w:t>
      </w:r>
      <w:r>
        <w:rPr>
          <w:rFonts w:ascii="Times New Roman" w:cs="Times New Roman" w:hAnsiTheme="minorEastAsia"/>
          <w:sz w:val="24"/>
          <w:szCs w:val="24"/>
          <w:lang w:eastAsia="zh-CN" w:bidi="ar-SA"/>
        </w:rPr>
        <w:t>24</w:t>
      </w:r>
      <w:r>
        <w:rPr>
          <w:rFonts w:hint="eastAsia" w:ascii="Times New Roman" w:cs="Times New Roman" w:hAnsiTheme="minorEastAsia"/>
          <w:sz w:val="24"/>
          <w:szCs w:val="24"/>
          <w:lang w:eastAsia="zh-CN" w:bidi="ar-SA"/>
        </w:rPr>
        <w:t>个月。</w:t>
      </w:r>
    </w:p>
    <w:p w14:paraId="60F356F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4.1.5 S&amp;P应考虑认证委托人不同班次完成的过程，以及其所证实的对每个班次的控制水平来策划对不同班次实施的审核程度，以确保审核的有效性：</w:t>
      </w:r>
    </w:p>
    <w:p w14:paraId="2DE83EA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（1）每次审核应至少对其中的一个班次的生产或服务的活动现场进行审核；</w:t>
      </w:r>
    </w:p>
    <w:p w14:paraId="662B7C4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（2）未审核其他班次生产或服务活动现场的，应记录未审核的理由。 </w:t>
      </w:r>
    </w:p>
    <w:p w14:paraId="1606590A">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5.4.2 审核时间</w:t>
      </w:r>
    </w:p>
    <w:p w14:paraId="1935305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4.2.1 审核时间包括在认证委托人现场的审核时间以及在现场审核以外实施策划、文件审核和编写审核报告等活动的时间。审核时间以人日计，1人日为 8小时，不应通过增加工作日的工作小时数以减少审核人日数。</w:t>
      </w:r>
    </w:p>
    <w:p w14:paraId="532F47D0">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如果认证委托人工作日的实际工作时间不足 8小时，则应延长现场审核天数以满足审核时间要求。</w:t>
      </w:r>
    </w:p>
    <w:p w14:paraId="72EE401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5.4.2.2</w:t>
      </w:r>
      <w:r>
        <w:rPr>
          <w:rFonts w:hint="eastAsia" w:ascii="Times New Roman" w:cs="Times New Roman" w:hAnsiTheme="minorEastAsia"/>
          <w:sz w:val="24"/>
          <w:szCs w:val="24"/>
          <w:lang w:eastAsia="zh-CN" w:bidi="ar-SA"/>
        </w:rPr>
        <w:t xml:space="preserve"> S&amp;P应以附录2所规定的审核时间为基础，考虑认证委托人有效人数、风险类型等因素，建立文件化的不同审核类型审核时间（包括现场审核时间）的确定方法。</w:t>
      </w:r>
    </w:p>
    <w:p w14:paraId="0079BC6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4.2.3 每次审核的审核时间确定过程应形成记录，尤其是减少审核时间的理由，减少的审核时间不得超过附录2所规定的审核时间的30％，整个审核时间中，现场审核时间不得少于所确定的审核时间的80%。如果审核人日计算后结果包括小数，宜将其调整为最接近的半人日数。 </w:t>
      </w:r>
    </w:p>
    <w:p w14:paraId="436D2C1C">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5.4.3 多场所抽样方案 </w:t>
      </w:r>
    </w:p>
    <w:p w14:paraId="629887D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4.3.1 S&amp;P建立并实施文件化的多场所组织认证抽样规则，策划并保留多场所组织的抽样及审核时间确定的记录。 </w:t>
      </w:r>
    </w:p>
    <w:p w14:paraId="10A12DF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4.3.2 多场所抽样应基于与认证委托人活动或过程性质相关的风险的评价。</w:t>
      </w:r>
    </w:p>
    <w:p w14:paraId="48A85D1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4.3.3 对涵盖相同活动、过程及风险类型的多个相似场所可进行抽样审核，抽样数量应不少于按以下方法计算的结果：</w:t>
      </w:r>
    </w:p>
    <w:p w14:paraId="7DA35AF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pict>
          <v:shape id="_x0000_s1029" o:spid="_x0000_s1029" style="position:absolute;left:0pt;margin-left:131.8pt;margin-top:7.2pt;height:15.45pt;width:21.8pt;z-index:251672576;mso-width-relative:page;mso-height-relative:page;" fillcolor="#000000" filled="t" stroked="f" coordsize="435,308" path="m51,145l106,266,183,0,435,0,435,21,204,21,204,20,195,20,111,308,95,308,31,168,4,180,0,168,51,145e">
            <v:fill on="t" focussize="0,0"/>
            <v:stroke on="f"/>
            <v:imagedata o:title=""/>
            <o:lock v:ext="edit"/>
          </v:shape>
        </w:pict>
      </w:r>
      <w:r>
        <w:rPr>
          <w:rFonts w:hint="eastAsia" w:ascii="Times New Roman" w:cs="Times New Roman" w:hAnsiTheme="minorEastAsia"/>
          <w:sz w:val="24"/>
          <w:szCs w:val="24"/>
          <w:lang w:eastAsia="zh-CN" w:bidi="ar-SA"/>
        </w:rPr>
        <w:t>（1）初次认证审核：Y=  X</w:t>
      </w:r>
    </w:p>
    <w:p w14:paraId="0ADB327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pict>
          <v:shape id="_x0000_s1030" o:spid="_x0000_s1030" style="position:absolute;left:0pt;margin-left:122.6pt;margin-top:8.25pt;height:15.45pt;width:21.8pt;z-index:251673600;mso-width-relative:page;mso-height-relative:page;" fillcolor="#000000" filled="t" stroked="f" coordsize="435,308" path="m51,145l106,266,183,0,435,0,435,21,204,21,204,20,195,20,111,308,95,308,31,168,4,180,0,168,51,145e">
            <v:fill on="t" focussize="0,0"/>
            <v:stroke on="f"/>
            <v:imagedata o:title=""/>
            <o:lock v:ext="edit"/>
          </v:shape>
        </w:pict>
      </w:r>
      <w:r>
        <w:rPr>
          <w:rFonts w:hint="eastAsia" w:ascii="Times New Roman" w:cs="Times New Roman" w:hAnsiTheme="minorEastAsia"/>
          <w:sz w:val="24"/>
          <w:szCs w:val="24"/>
          <w:lang w:eastAsia="zh-CN" w:bidi="ar-SA"/>
        </w:rPr>
        <w:t>（2）监督审核：Y=0.6  X</w:t>
      </w:r>
    </w:p>
    <w:p w14:paraId="35844A6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pict>
          <v:shape id="_x0000_s1031" o:spid="_x0000_s1031" style="position:absolute;left:0pt;margin-left:134.6pt;margin-top:7.3pt;height:15.45pt;width:21.8pt;z-index:251674624;mso-width-relative:page;mso-height-relative:page;" fillcolor="#000000" filled="t" stroked="f" coordsize="435,308" path="m51,145l106,266,183,0,435,0,435,21,204,21,204,20,195,20,111,308,95,308,31,168,4,180,0,168,51,145e">
            <v:fill on="t" focussize="0,0"/>
            <v:stroke on="f"/>
            <v:imagedata o:title=""/>
            <o:lock v:ext="edit"/>
          </v:shape>
        </w:pict>
      </w:r>
      <w:r>
        <w:rPr>
          <w:rFonts w:hint="eastAsia" w:ascii="Times New Roman" w:cs="Times New Roman" w:hAnsiTheme="minorEastAsia"/>
          <w:sz w:val="24"/>
          <w:szCs w:val="24"/>
          <w:lang w:eastAsia="zh-CN" w:bidi="ar-SA"/>
        </w:rPr>
        <w:t>（3）再认证审核：Y=0.8  X</w:t>
      </w:r>
    </w:p>
    <w:p w14:paraId="525BD82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注：其中Y为抽样的数量，结果向上取整；X为相似场所的总体数量。</w:t>
      </w:r>
    </w:p>
    <w:p w14:paraId="520B7D5F">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4.3.4 对多个非相似场所，则不应抽样，初审和再认证审核应当逐一到各场所进行审核。监督审核应抽取不少于 30%的场所进行审核，且每次审核均应包括中心职能部门。第二次监督审核选取的场所通常不同于第一次监督审核所选取的场所。</w:t>
      </w:r>
    </w:p>
    <w:p w14:paraId="4A1DBEE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4.3.5 分场所审核人日的计算方法参见5.4.2，且现场审核时间不得少于依据附录2所确定的现场审核时间的 50%。</w:t>
      </w:r>
    </w:p>
    <w:p w14:paraId="33D0C38E">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5.4.4 组建审核组 </w:t>
      </w:r>
    </w:p>
    <w:p w14:paraId="56FDF9C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4.4.1 S&amp;P应根据实现审核目的所需的能力和公正性要求组建审核组，至少 1名实施第一阶段审核的审核员应参加第二阶段审核，每个审核组应包括：</w:t>
      </w:r>
    </w:p>
    <w:p w14:paraId="28E8D74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（1）审核组长：S&amp;P应建立并实施审核组长的选择、培训以及任用的管理制度；审核组长应当具有管理和领导审核组达成审核目标的知识和技能，其能力应至少满足 GB/T 19011《管理体系审核指南》中对审核组长的通用要求;</w:t>
      </w:r>
    </w:p>
    <w:p w14:paraId="30D6F6C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 至少1名与认证委托人所属认证业务范围相匹配的专业人员（专业领域审核员或技术专家）。</w:t>
      </w:r>
    </w:p>
    <w:p w14:paraId="35EE2B7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（3）至少1名S&amp;P的专职审核员，并确保专职审核员全程参与审核过程。 </w:t>
      </w:r>
    </w:p>
    <w:p w14:paraId="2163D0AF">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4.4.2 技术专家主要负责为审核组提供技术支持，不作为审核员实施审核，不计入审核时间。</w:t>
      </w:r>
    </w:p>
    <w:p w14:paraId="54715E1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5.4.4.3 实习审核员应在正式审核员的指导下参加审核，不计入审核时间，其在审核过程中的活动由负责指导的正式审核员承担责任。审核组中实习审核员的数量不得超过正式审核员的数量。</w:t>
      </w:r>
    </w:p>
    <w:p w14:paraId="163F03A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4.4.4 审核组成员不得与认证委托人存在利益关系。  </w:t>
      </w:r>
    </w:p>
    <w:p w14:paraId="635F32F6">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ascii="Times New Roman" w:cs="Times New Roman" w:hAnsiTheme="minorEastAsia"/>
          <w:b/>
          <w:sz w:val="24"/>
          <w:szCs w:val="24"/>
          <w:lang w:eastAsia="zh-CN" w:bidi="ar-SA"/>
        </w:rPr>
        <w:t>5.</w:t>
      </w:r>
      <w:r>
        <w:rPr>
          <w:rFonts w:hint="eastAsia" w:ascii="Times New Roman" w:cs="Times New Roman" w:hAnsiTheme="minorEastAsia"/>
          <w:b/>
          <w:sz w:val="24"/>
          <w:szCs w:val="24"/>
          <w:lang w:eastAsia="zh-CN" w:bidi="ar-SA"/>
        </w:rPr>
        <w:t xml:space="preserve">4.5 审核计划 </w:t>
      </w:r>
    </w:p>
    <w:p w14:paraId="3C175A3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4.5.1 S&amp;P应依据审核方案制定每次现场审核的审核计划。审核计划至少包括：审核目的、审核准则、审核范围、现场审核的日期、时间安排和场所、审核组成员及审核任务安排。其中，审核员应注明审核员注册号，专业领域审核员和技术专家应标明专业代码，兼职审核员和在职技术专家应注明工作单位。 </w:t>
      </w:r>
    </w:p>
    <w:p w14:paraId="69FEF6D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4.5.2 现场审核应安排在认证委托人的生产或服务处于正常运行时进行。</w:t>
      </w:r>
    </w:p>
    <w:p w14:paraId="6885B4F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4.5.3 现场审核开始前，应将审核计划提交给认证委托人并经其确认。如需要临时调整审核计划，应经双方协商一致后实施。</w:t>
      </w:r>
    </w:p>
    <w:p w14:paraId="699878D5">
      <w:pPr>
        <w:pStyle w:val="3"/>
        <w:rPr>
          <w:lang w:eastAsia="zh-CN" w:bidi="ar-SA"/>
        </w:rPr>
      </w:pPr>
      <w:bookmarkStart w:id="11" w:name="_Toc227741574"/>
      <w:r>
        <w:rPr>
          <w:lang w:eastAsia="zh-CN" w:bidi="ar-SA"/>
        </w:rPr>
        <w:t>5.5</w:t>
      </w:r>
      <w:r>
        <w:rPr>
          <w:rFonts w:hint="eastAsia" w:hAnsiTheme="minorEastAsia"/>
          <w:lang w:eastAsia="zh-CN" w:bidi="ar-SA"/>
        </w:rPr>
        <w:t>实施审核</w:t>
      </w:r>
      <w:bookmarkEnd w:id="11"/>
    </w:p>
    <w:p w14:paraId="4DA040F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5.1 认证审核应在认证委托人的现场实施，包括初次认证审核以及认证周期内的每年度的监督审核、再认证审核和特殊审核。</w:t>
      </w:r>
    </w:p>
    <w:p w14:paraId="647290E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5.2 审核组应按审核计划实施审核，并采用中文记录审核过程，可补充使用图片/音像作为记录。</w:t>
      </w:r>
    </w:p>
    <w:p w14:paraId="1510385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5.3 审核组应会同认证委托人召开首、末次会议，认证委托人的最高管理者、相关职能部门负责人应参加首、末次会议，S&amp;P应保留首、末次会议签到记录、图片/音像证明材料。认证委托人的最高管理者不能参加首末次会议的，应由获得书面授权的其他高级管理层成员参会，审核组应记录最高管理者缺席理由。 </w:t>
      </w:r>
    </w:p>
    <w:p w14:paraId="435D682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5.4 审核组应通过面对面访谈等形式，对认证委托人的最高管理者在IMS中发挥领导作用的情况进行重点审核，并保留现场图片/音像、审核记录等证明材料。最高管理者不熟悉组织自身的IMS管理方针、目标，未亲自参与并推动IMS实施的，认证审核应不予通过。</w:t>
      </w:r>
    </w:p>
    <w:p w14:paraId="441099B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5.5.5 发生下列情况的，审核组应向S&amp;P报告后终止审核：</w:t>
      </w:r>
    </w:p>
    <w:p w14:paraId="710430E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（1）认证委托人对审核活动不予配合，审核活动无法进行；</w:t>
      </w:r>
    </w:p>
    <w:p w14:paraId="3CAF157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（2）认证委托人的最高管理者或经授权的高级管理层成员缺席首末次会议；</w:t>
      </w:r>
    </w:p>
    <w:p w14:paraId="35FD5DC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（3）认证委托人实际情况与申请材料有重大不一致；</w:t>
      </w:r>
    </w:p>
    <w:p w14:paraId="017DDDA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（4）其他导致审核程序无法完成的情况。</w:t>
      </w:r>
    </w:p>
    <w:p w14:paraId="404F8BC7">
      <w:pPr>
        <w:pStyle w:val="3"/>
        <w:rPr>
          <w:lang w:eastAsia="zh-CN" w:bidi="ar-SA"/>
        </w:rPr>
      </w:pPr>
      <w:bookmarkStart w:id="12" w:name="_Toc227741575"/>
      <w:r>
        <w:rPr>
          <w:lang w:eastAsia="zh-CN" w:bidi="ar-SA"/>
        </w:rPr>
        <w:t>5.6</w:t>
      </w:r>
      <w:r>
        <w:rPr>
          <w:rFonts w:hint="eastAsia" w:hAnsiTheme="minorEastAsia"/>
          <w:lang w:eastAsia="zh-CN" w:bidi="ar-SA"/>
        </w:rPr>
        <w:t>初次认证审核</w:t>
      </w:r>
      <w:bookmarkEnd w:id="12"/>
    </w:p>
    <w:p w14:paraId="67189081">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ascii="Times New Roman" w:cs="Times New Roman" w:hAnsiTheme="minorEastAsia"/>
          <w:b/>
          <w:sz w:val="24"/>
          <w:szCs w:val="24"/>
          <w:lang w:eastAsia="zh-CN" w:bidi="ar-SA"/>
        </w:rPr>
        <w:t>5.</w:t>
      </w:r>
      <w:r>
        <w:rPr>
          <w:rFonts w:hint="eastAsia" w:ascii="Times New Roman" w:cs="Times New Roman" w:hAnsiTheme="minorEastAsia"/>
          <w:b/>
          <w:sz w:val="24"/>
          <w:szCs w:val="24"/>
          <w:lang w:eastAsia="zh-CN" w:bidi="ar-SA"/>
        </w:rPr>
        <w:t>6.1 总则</w:t>
      </w:r>
    </w:p>
    <w:p w14:paraId="22CF9E03">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初次认证审核应分为两个阶段实施：第一阶段审核和第二阶段审核。两个阶段审核时间间隔最短不应少于 5 日，最长不应超过 6 个月。如需要更长的时间间隔，应重新实施第一阶段审核。 </w:t>
      </w:r>
    </w:p>
    <w:p w14:paraId="6E69855E">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5.6.2 第一阶段审核</w:t>
      </w:r>
    </w:p>
    <w:p w14:paraId="51902B6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5.6.2.1 第一阶段审核的目的是通过了解认证委托人的IMS和其对第二阶段的准备情况，确定其是否具备接受第二阶段审核的条件并策划第二阶段审核的关注点。第一阶段审核的内容包括但不限于以下方面：</w:t>
      </w:r>
    </w:p>
    <w:p w14:paraId="20D1055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（1）了解认证委托人的情况，包括其活动、产品和服务、设施设备、工艺流程、现场运作以及适用的标准；</w:t>
      </w:r>
    </w:p>
    <w:p w14:paraId="14E896B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（2）评审认证委托人体系文件，确认其与认证委托人业务活动及产品和服务相吻合；</w:t>
      </w:r>
    </w:p>
    <w:p w14:paraId="149581A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（3）确认认证委托人申请信息和文件资料的真实性；</w:t>
      </w:r>
    </w:p>
    <w:p w14:paraId="04A8A39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（4）审核认证委托人理解和实施GB/T 31950及目标识别情况；</w:t>
      </w:r>
    </w:p>
    <w:p w14:paraId="4964D65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（5）确认认证委托人是否为第二阶段审核做好准备，已实施了内部审核和管理评审；</w:t>
      </w:r>
    </w:p>
    <w:p w14:paraId="49BFA55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（6）确认认证委托人认证范围、体系覆盖范围内有效人数和场所；</w:t>
      </w:r>
    </w:p>
    <w:p w14:paraId="6C72D0E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（7）认证委托人的产品和服务符合相关法律法规及强制性标准的情况。</w:t>
      </w:r>
    </w:p>
    <w:p w14:paraId="38A61DA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5.6.2.2 为达到第一阶段审核的目的和要求，除下列情况外，第一阶段审核应在认证委托人现场实施：</w:t>
      </w:r>
    </w:p>
    <w:p w14:paraId="111723F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（1）认证委托人已获S&amp;P颁发的其他领域的有效认证证书，S&amp;P已对认证委托人IMS有充分了解；</w:t>
      </w:r>
    </w:p>
    <w:p w14:paraId="28FB4947">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S&amp;P应记录未在现场进行第一阶段审核的理由。 </w:t>
      </w:r>
    </w:p>
    <w:p w14:paraId="21C087B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6.2.3 S&amp;P应将认证委托人是否具备第二阶段审核条件的结论书面告知认证委托人，包括所识别的需引起关注的、在第二阶段可能被判定为不符合的问题。 </w:t>
      </w:r>
    </w:p>
    <w:p w14:paraId="06CAD85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6.2.4 S&amp;P通过第一阶段审核发现相关申请信息和文件资料存在虚假情况的，应终止认证活动。 </w:t>
      </w:r>
    </w:p>
    <w:p w14:paraId="145CA921">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5.6.3 第二阶段审核</w:t>
      </w:r>
    </w:p>
    <w:p w14:paraId="0FE9093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6.3.1 第二阶段审核的目的是评价认证委托人IMS实施情况，包括对GB/T 31950标准要求的符合性和体系的有效性。</w:t>
      </w:r>
    </w:p>
    <w:p w14:paraId="2526DDA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6.3.2 第二阶段审核应在认证委托人的现场实施，至少覆盖以下内容：</w:t>
      </w:r>
    </w:p>
    <w:p w14:paraId="14D2E8F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（1）认证委托人IMS与GB/T 31950标准的符合情况及证据；</w:t>
      </w:r>
    </w:p>
    <w:p w14:paraId="0AA487B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（2）依据IMS关键绩效、目标和指标，对绩效进行的监视、测量、报告和评审；</w:t>
      </w:r>
    </w:p>
    <w:p w14:paraId="124B1BF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3）认证委托人实施IMS的能力以及在符合适用法律法规要求方面的绩效；</w:t>
      </w:r>
    </w:p>
    <w:p w14:paraId="659B216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4）认证委托人管理过程的运作控制；</w:t>
      </w:r>
    </w:p>
    <w:p w14:paraId="249E53D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5）认证委托人的内部审核和管理评审；</w:t>
      </w:r>
    </w:p>
    <w:p w14:paraId="60462F1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6）针对认证委托人管理体系方针的管理职责。</w:t>
      </w:r>
    </w:p>
    <w:p w14:paraId="48100450">
      <w:pPr>
        <w:pStyle w:val="3"/>
        <w:rPr>
          <w:rFonts w:hAnsiTheme="minorEastAsia"/>
          <w:lang w:eastAsia="zh-CN" w:bidi="ar-SA"/>
        </w:rPr>
      </w:pPr>
      <w:bookmarkStart w:id="13" w:name="_Toc227741576"/>
      <w:r>
        <w:rPr>
          <w:rFonts w:hint="eastAsia" w:hAnsiTheme="minorEastAsia"/>
          <w:lang w:eastAsia="zh-CN" w:bidi="ar-SA"/>
        </w:rPr>
        <w:t>5.7监督审核</w:t>
      </w:r>
      <w:bookmarkEnd w:id="13"/>
    </w:p>
    <w:p w14:paraId="1129E2F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5.7.1 </w:t>
      </w:r>
      <w:r>
        <w:rPr>
          <w:rFonts w:hint="eastAsia" w:ascii="Times New Roman" w:cs="Times New Roman" w:hAnsiTheme="minorEastAsia"/>
          <w:sz w:val="24"/>
          <w:szCs w:val="24"/>
          <w:lang w:eastAsia="zh-CN" w:bidi="ar-SA"/>
        </w:rPr>
        <w:t xml:space="preserve">S&amp;P应对获证组织进行有效跟踪，依据审核方案对获证组织开展监督审核，并要求获证组织的最高管理者参与审核访谈以确认获证组织IMS与GB/T 31950标准的持续符合性和运行的有效性。 </w:t>
      </w:r>
    </w:p>
    <w:p w14:paraId="1742241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7.2 每次监督审核应尽可能覆盖认证范围内的典型产品/服务及有代表性的生产/服务过程，确保在认证证书有效期内的监督审核覆盖认证范围内的所有典型产品/服务、有代表性的生产/服务过程。</w:t>
      </w:r>
    </w:p>
    <w:p w14:paraId="097B346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7.3 监督审核应重点关注获证组织的变更以及IMS绩效的持续改进，监督审核的内容至少包括：</w:t>
      </w:r>
    </w:p>
    <w:p w14:paraId="4F7A957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（1）内部审核和管理评审；</w:t>
      </w:r>
    </w:p>
    <w:p w14:paraId="573AC56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（2）对上次审核确定的不符合采取的纠正措施及效果；</w:t>
      </w:r>
    </w:p>
    <w:p w14:paraId="3BA21AF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（3）IMS在实现获证组织目标和IMS预期结果方面的有效性；</w:t>
      </w:r>
    </w:p>
    <w:p w14:paraId="52965C0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（4）为持续改进而策划的活动的进展；</w:t>
      </w:r>
    </w:p>
    <w:p w14:paraId="0012D25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（5）持续的运作控制；</w:t>
      </w:r>
    </w:p>
    <w:p w14:paraId="4982003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（6）任何变更；</w:t>
      </w:r>
    </w:p>
    <w:p w14:paraId="0B91FD9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（7）认证证书、认证标志的使用和（或）任何其他对认证信息的引用；</w:t>
      </w:r>
    </w:p>
    <w:p w14:paraId="5D9E245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（8）相关投诉的处理；</w:t>
      </w:r>
    </w:p>
    <w:p w14:paraId="363DAF4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（9）上次审核后发生的事故的调查与处理。</w:t>
      </w:r>
    </w:p>
    <w:p w14:paraId="4B15FED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7.4 监督审核的时间应根据获证组织当前有效人数和风险类型确定，不少于依据附录2所确定的初次认证审核时间的1/3。</w:t>
      </w:r>
    </w:p>
    <w:p w14:paraId="0A5957CA">
      <w:pPr>
        <w:pStyle w:val="3"/>
        <w:rPr>
          <w:rFonts w:hAnsiTheme="minorEastAsia"/>
          <w:lang w:eastAsia="zh-CN" w:bidi="ar-SA"/>
        </w:rPr>
      </w:pPr>
      <w:bookmarkStart w:id="14" w:name="_Toc227741577"/>
      <w:r>
        <w:rPr>
          <w:rFonts w:hint="eastAsia" w:hAnsiTheme="minorEastAsia"/>
          <w:lang w:eastAsia="zh-CN" w:bidi="ar-SA"/>
        </w:rPr>
        <w:t>5.8再认证审核</w:t>
      </w:r>
      <w:bookmarkEnd w:id="14"/>
    </w:p>
    <w:p w14:paraId="503EE24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8.1 认证证书期满前，获证组织申请继续持有认证证书的，S&amp;P应依据审核方案实施再认证审核，以判断获证组织的IMS作为一个整体与GB/T 31950持续符合性和运行的有效性。</w:t>
      </w:r>
    </w:p>
    <w:p w14:paraId="5772E04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8.2 再认证审核应在获证组织现场进行，并应在认证证书到期前完成。再认证审核的内容至少应包括：</w:t>
      </w:r>
    </w:p>
    <w:p w14:paraId="5B10F5B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（1）结合其内部环境和外部环境的变化情况，确认获证组织IMS有效性及认证范围的持续相关性和适宜性；</w:t>
      </w:r>
    </w:p>
    <w:p w14:paraId="644A5C0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（2）IMS绩效持续改进的证实；</w:t>
      </w:r>
    </w:p>
    <w:p w14:paraId="73C5EAE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（3）IMS在实现获证组织目标和IMS预期结果方面的有效性。 </w:t>
      </w:r>
    </w:p>
    <w:p w14:paraId="465F9C7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8.3 再认证审核策划时应考虑获证组织最近一个认证周期内的IMS绩效，包括调阅以往的监督审核报告。</w:t>
      </w:r>
    </w:p>
    <w:p w14:paraId="4492D8C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8.4 再认证审核的审核时间应按 5.4.2 的要求，根据获证组织当前有效人数和IMS风险类型情况来确定，不少于依据附录2所确定的初次认证审核时间的 2/3。</w:t>
      </w:r>
    </w:p>
    <w:p w14:paraId="0D77F334">
      <w:pPr>
        <w:pStyle w:val="3"/>
        <w:rPr>
          <w:rFonts w:hAnsiTheme="minorEastAsia"/>
          <w:lang w:eastAsia="zh-CN" w:bidi="ar-SA"/>
        </w:rPr>
      </w:pPr>
      <w:bookmarkStart w:id="15" w:name="_Toc227741578"/>
      <w:r>
        <w:rPr>
          <w:rFonts w:hint="eastAsia" w:hAnsiTheme="minorEastAsia"/>
          <w:lang w:eastAsia="zh-CN" w:bidi="ar-SA"/>
        </w:rPr>
        <w:t>5.9特殊审核</w:t>
      </w:r>
      <w:bookmarkEnd w:id="15"/>
    </w:p>
    <w:p w14:paraId="5BBA7E9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5.9.1 扩大认证范围</w:t>
      </w:r>
    </w:p>
    <w:p w14:paraId="192A6B35">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对于已授予的认证，S&amp;P应对扩大认证范围的申请进行评审，并确定任何必要的审核活动，以做出是否可予扩大的决定。这类审核活动可以结合监督审核同时进行。</w:t>
      </w:r>
    </w:p>
    <w:p w14:paraId="6238281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5.9.2 提前较短时间通知的审核</w:t>
      </w:r>
    </w:p>
    <w:p w14:paraId="08995C3F">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为调查投诉、事故，对变更做出回应或对被暂停的客户进行追踪，可能需要在提前较短时间或不通知获证组织的情况下进行审核，此时：</w:t>
      </w:r>
    </w:p>
    <w:p w14:paraId="4B4B43D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（1）S&amp;P应说明并使获证组织提前了解将在何种条件下进行此类审核；</w:t>
      </w:r>
    </w:p>
    <w:p w14:paraId="6B70ED8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（2）由于获证组织缺乏对审核组成员的任命表示反对的机会，S&amp;P应在指派审核组时给予更多的关注。 </w:t>
      </w:r>
    </w:p>
    <w:p w14:paraId="7FEBDFB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9.3 获证组织认证范围内的产品在产品国家监督抽查中被查出不合格时，自市场监管部门发出通报起 30日内，S&amp;P应对该组织实施提前较短时间通知的审核。</w:t>
      </w:r>
    </w:p>
    <w:p w14:paraId="039EDE66">
      <w:pPr>
        <w:pStyle w:val="3"/>
        <w:rPr>
          <w:rFonts w:hAnsiTheme="minorEastAsia"/>
          <w:lang w:eastAsia="zh-CN" w:bidi="ar-SA"/>
        </w:rPr>
      </w:pPr>
      <w:bookmarkStart w:id="16" w:name="_Toc227741579"/>
      <w:r>
        <w:rPr>
          <w:rFonts w:hint="eastAsia" w:hAnsiTheme="minorEastAsia"/>
          <w:lang w:eastAsia="zh-CN" w:bidi="ar-SA"/>
        </w:rPr>
        <w:t>5.10不符合项及其验证</w:t>
      </w:r>
      <w:bookmarkEnd w:id="16"/>
    </w:p>
    <w:p w14:paraId="617DC89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10.1 对审核中发现的不符合，S&amp;P应要求认证委托人在规定的时限内进行原因分析，采取相应的纠正措施。 </w:t>
      </w:r>
    </w:p>
    <w:p w14:paraId="6F79A5C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10.2 S&amp;P应对认证委托人所采取的纠正措施的有效性进行验证。认证委托人可以针对轻微不符合制定纠正措施计划，由S&amp;P在下次审核时验证。</w:t>
      </w:r>
    </w:p>
    <w:p w14:paraId="13C6F47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5.10.3 严重不符合的验证时限应满足以下要求：</w:t>
      </w:r>
    </w:p>
    <w:p w14:paraId="7BF178B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（1）初次认证：在第二阶段审核结束之日起 6个月内完成；</w:t>
      </w:r>
    </w:p>
    <w:p w14:paraId="4A4ABE0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（2）监督审核：在审核结束之日起 3个月内完成；</w:t>
      </w:r>
    </w:p>
    <w:p w14:paraId="46CC7C6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（3）再认证：在原认证证书到期前完成。 </w:t>
      </w:r>
    </w:p>
    <w:p w14:paraId="0D1EF5C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10.4 对于认证委托人未能在规定的时限内完成对不符合所采取措施的情况，S&amp;P不应作出授予认证、保持认证或更新认证的决定。</w:t>
      </w:r>
    </w:p>
    <w:p w14:paraId="649BC611">
      <w:pPr>
        <w:pStyle w:val="3"/>
        <w:rPr>
          <w:rFonts w:hAnsiTheme="minorEastAsia"/>
          <w:lang w:eastAsia="zh-CN" w:bidi="ar-SA"/>
        </w:rPr>
      </w:pPr>
      <w:bookmarkStart w:id="17" w:name="_Toc227741580"/>
      <w:r>
        <w:rPr>
          <w:rFonts w:hint="eastAsia" w:hAnsiTheme="minorEastAsia"/>
          <w:lang w:eastAsia="zh-CN" w:bidi="ar-SA"/>
        </w:rPr>
        <w:t>5.11审核报告</w:t>
      </w:r>
      <w:bookmarkEnd w:id="17"/>
    </w:p>
    <w:p w14:paraId="0E1E69E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11.1 S&amp;P应就每次审核向认证委托人提供书面的审核报告。审核组长应对审核报告的内容负责。 </w:t>
      </w:r>
    </w:p>
    <w:p w14:paraId="22EA362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11.2 审核报告的内容应准确、简明和清晰，反映认证委托人IMS的真实状况，描述对照GB/T 31950标准的符合性和有效性的客观证据信息，及对认证结论的推荐意见。</w:t>
      </w:r>
    </w:p>
    <w:p w14:paraId="24910C3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5.11.3 审核报告至少应包括或引用以下内容：</w:t>
      </w:r>
    </w:p>
    <w:p w14:paraId="7127860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（1）认证机构名称；</w:t>
      </w:r>
    </w:p>
    <w:p w14:paraId="37C0493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（2）认证委托人的名称和地址及其代表；</w:t>
      </w:r>
    </w:p>
    <w:p w14:paraId="16A79AA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（3）审核类型（如，初次认证、监督、再认证或其他类型）；</w:t>
      </w:r>
    </w:p>
    <w:p w14:paraId="5979F01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（4）结合、联合或一体化审核情况（适用时）；</w:t>
      </w:r>
    </w:p>
    <w:p w14:paraId="02ED074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（5）审核准则；</w:t>
      </w:r>
    </w:p>
    <w:p w14:paraId="2CB3EBA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（6）审核目的及其是否达到的确认；</w:t>
      </w:r>
    </w:p>
    <w:p w14:paraId="48DDCBB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（7）审核范围，特别是标识出所审核的组织、职能单元\过程，以及审核时间；</w:t>
      </w:r>
    </w:p>
    <w:p w14:paraId="47FE655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（8）任何偏离审核计划的情况及其理由；</w:t>
      </w:r>
    </w:p>
    <w:p w14:paraId="52220BD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（9）任何影响审核方案的重要事项；</w:t>
      </w:r>
    </w:p>
    <w:p w14:paraId="71FCAEA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（10）审核组成员姓名、身份及任何与审核组同行的人员；</w:t>
      </w:r>
    </w:p>
    <w:p w14:paraId="41BC365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（11）审核活动（现场或非现场，永久或临时场所）的实施日期和地点；</w:t>
      </w:r>
    </w:p>
    <w:p w14:paraId="43F2CBD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12）应描述与审核类型要求一致的审核发现、审核证据（或审核证据的引用）以及审核结论，重点反映认证委托人主要产品和服务提供过程与控制情况、内部审核和管理评审的过程、所取得的绩效，认证委托人实际情况与其预期目标之间存在的差距和改进机会；</w:t>
      </w:r>
    </w:p>
    <w:p w14:paraId="5D496A4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（13）行政监管部门抽查的不合格情况，及相关原因分析和整改措施的有效性（适用时）；</w:t>
      </w:r>
    </w:p>
    <w:p w14:paraId="3946DD7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（14）上次审核后发生的影响认证委托人IMS的重要变更（适用时）；</w:t>
      </w:r>
    </w:p>
    <w:p w14:paraId="6AC1F05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（15）获证组织对认证证书和认证标志使用的控制情况（适用时）；</w:t>
      </w:r>
    </w:p>
    <w:p w14:paraId="317E7D0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（16）对以前不符合采取的纠正措施有效性的验证情况（适用时）；</w:t>
      </w:r>
    </w:p>
    <w:p w14:paraId="7C880D0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（17）已识别出的任何未解决的问题；</w:t>
      </w:r>
    </w:p>
    <w:p w14:paraId="0569E4F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（18）说明审核基于对可获得信息的抽样过程的免责声明；</w:t>
      </w:r>
    </w:p>
    <w:p w14:paraId="3E390AC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（19）审核组的推荐意见以及对申请的认证范围适宜性的结论。 </w:t>
      </w:r>
    </w:p>
    <w:p w14:paraId="5BA3529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11.4 认证机构应保留用于证实审核报告中相关信息的审核证据。 </w:t>
      </w:r>
    </w:p>
    <w:p w14:paraId="67AD876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11.5 对终止审核的项目，审核组应将终止审核的原因以及已开展的工作情况形成报告，S&amp;P应将此报告提交给认证委托人。</w:t>
      </w:r>
    </w:p>
    <w:p w14:paraId="1A32A611">
      <w:pPr>
        <w:pStyle w:val="3"/>
        <w:rPr>
          <w:rFonts w:hAnsiTheme="minorEastAsia"/>
          <w:lang w:eastAsia="zh-CN" w:bidi="ar-SA"/>
        </w:rPr>
      </w:pPr>
      <w:bookmarkStart w:id="18" w:name="_Toc227741581"/>
      <w:r>
        <w:rPr>
          <w:rFonts w:hint="eastAsia" w:hAnsiTheme="minorEastAsia"/>
          <w:lang w:eastAsia="zh-CN" w:bidi="ar-SA"/>
        </w:rPr>
        <w:t>5.12认证决定</w:t>
      </w:r>
      <w:bookmarkEnd w:id="18"/>
    </w:p>
    <w:p w14:paraId="56C808F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12.1 S&amp;P应在对审核报告、不符合的纠正措施及验证情况和其他信息进行复核、综合评价的基础上，做出认证决定。认证决定人员应为S&amp;P的专职认证人员，并不得为审核组成员，能力应满足关于S&amp;P的相关要求。认证决定过程不得外包，认证决定须由中华人民共和国境内的工作人员做出。 </w:t>
      </w:r>
    </w:p>
    <w:p w14:paraId="6A44928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12.2 S&amp;P应有充分的证据确认认证委托人满足下列条件的，做出授予、更新、扩大认证范围的决定：</w:t>
      </w:r>
    </w:p>
    <w:p w14:paraId="682D3E4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（1）5.1.2中的条件；</w:t>
      </w:r>
    </w:p>
    <w:p w14:paraId="0BD0EE7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（2）对于严重不符合，已评审、接受并验证了纠正措施的有效性；对于轻微不符合，已评审、接受了认证委托人的纠正措施或计划采取的纠正措施；</w:t>
      </w:r>
    </w:p>
    <w:p w14:paraId="208AFC8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（3）认证委托人的IMS符合GB/T 31950标准要求且运行有效；</w:t>
      </w:r>
    </w:p>
    <w:p w14:paraId="64A382A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（4）认证委托人按照认证合同规定履行了相关义务。 </w:t>
      </w:r>
    </w:p>
    <w:p w14:paraId="6C8DC8A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12.3 初次认证审核的认证决定应在现场审核后 6个月内完成。否则应在推荐认证注册前再实施一次第二阶段审核。 </w:t>
      </w:r>
    </w:p>
    <w:p w14:paraId="02FC679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12.4 再认证审核的认证决定宜在上一认证周期认证证书到期前完成，最迟应在证书到期之日起 6个月内完成。如果在当前认证证书终止日期前，S&amp;P未能完成再认证审核或对严重不符合实施的纠正和纠正措施未能进行验证，则不应予以再认证，也不应延长原认证证书的有效期。</w:t>
      </w:r>
    </w:p>
    <w:p w14:paraId="4CCB71C9">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12.5 认证委托人不能满足 5.12.2 要求的，S&amp;P应以书面形式告知其未通过认证的原因。 </w:t>
      </w:r>
    </w:p>
    <w:p w14:paraId="4E0A597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12.6 对于监督审核，在满足下列条件时，可根据审核组长的肯定性结论保持对获证组织的认证，无需再进行独立的认证决定：</w:t>
      </w:r>
    </w:p>
    <w:p w14:paraId="181D591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（1）监督审核未发现严重不符合及其他可能导致认证证书暂停撤销的情况；</w:t>
      </w:r>
    </w:p>
    <w:p w14:paraId="7958B76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（2）获证组织认证信息未发生变更，不存在扩大、缩小认证范围的情况；</w:t>
      </w:r>
    </w:p>
    <w:p w14:paraId="5E3A50D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（3）S&amp;P建立了监督审核的监视机制并予以实施，可确保监督审核活动的有效性。</w:t>
      </w:r>
    </w:p>
    <w:p w14:paraId="41B8833D">
      <w:pPr>
        <w:pStyle w:val="2"/>
        <w:rPr>
          <w:rFonts w:hAnsi="Times New Roman"/>
          <w:lang w:eastAsia="zh-CN" w:bidi="ar-SA"/>
        </w:rPr>
      </w:pPr>
      <w:bookmarkStart w:id="19" w:name="_Toc227741582"/>
      <w:r>
        <w:rPr>
          <w:rFonts w:hAnsi="Times New Roman"/>
          <w:lang w:eastAsia="zh-CN" w:bidi="ar-SA"/>
        </w:rPr>
        <w:t xml:space="preserve">6 </w:t>
      </w:r>
      <w:r>
        <w:rPr>
          <w:lang w:eastAsia="zh-CN" w:bidi="ar-SA"/>
        </w:rPr>
        <w:t>认证</w:t>
      </w:r>
      <w:r>
        <w:rPr>
          <w:rFonts w:hint="eastAsia"/>
          <w:lang w:eastAsia="zh-CN" w:bidi="ar-SA"/>
        </w:rPr>
        <w:t>证书和认证标志</w:t>
      </w:r>
      <w:bookmarkEnd w:id="19"/>
    </w:p>
    <w:p w14:paraId="2A3987B2">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6.1 总则 </w:t>
      </w:r>
    </w:p>
    <w:p w14:paraId="3097557F">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1.1 S&amp;P制定《管理体系认证证书和认证标志、认可标识使用规则》，要求获证组织正确使用认证证书和认证标志，以满足《认证证书和认证标志管理办法》相关规定。</w:t>
      </w:r>
    </w:p>
    <w:p w14:paraId="10318DA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1.2 获证组织可以在认证证书有效时使用认证证书和认证标志，并接受认证机构的监督管理。认证证书处于暂停期间、被撤销或注销后不得继续使用认证证书和认证标志。 </w:t>
      </w:r>
    </w:p>
    <w:p w14:paraId="2A45C57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1.3 获证组织应当在广告等有关宣传中正确使用认证标志，不得在产品上仅标注有IMS认证标志，只有在注明获证组织通过IMS认证及认证机构名称的情况下，方可在产品包装上标注IMS认证标志。 </w:t>
      </w:r>
    </w:p>
    <w:p w14:paraId="4ACFDA3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1.4 S&amp;P发现获证组织未正确使用认证证书和认证标志的，应当要求获证组织立即采取有效纠正措施，并跟踪监督纠正情况。 </w:t>
      </w:r>
    </w:p>
    <w:p w14:paraId="1991BE58">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6.2 认证证书 </w:t>
      </w:r>
    </w:p>
    <w:p w14:paraId="1B1955D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2.1 S&amp;P应及时向认证决定符合要求的组织出具认证证书，认证证书的有效期最长为3年。</w:t>
      </w:r>
    </w:p>
    <w:p w14:paraId="16DCEE6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2.2 认证证书有效期的起算日期为认证证书签发日期，认证证书的签发日期不应早于做出认证决定的日期。 </w:t>
      </w:r>
    </w:p>
    <w:p w14:paraId="23CFA07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2.3 对于未能在原认证证书到期前完成再认证决定的，获证组织的IMS认证证书到期后自动失效，直至获得新签发的再认证证书，新签发的再认证证书的终止日期不超过上一认证周期终止日期再加 3年。</w:t>
      </w:r>
    </w:p>
    <w:p w14:paraId="1AD97AE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6.2.4 对每张IMS认证证书赋予一个认证证书编号，认证证书编号应遵循一定的规律，具体详见附录3。 </w:t>
      </w:r>
    </w:p>
    <w:p w14:paraId="3A9680CF">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2.5 认证证书在中华人民共和国境内使用的，认证证书应使用中文。 </w:t>
      </w:r>
    </w:p>
    <w:p w14:paraId="6635BB5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2.6 认证证书的信息应真实、准确，不产生误导，并至少包含以下内容：</w:t>
      </w:r>
    </w:p>
    <w:p w14:paraId="7214628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（1）获证组织名称、统一社会信用代码、注册地址、认证范围所覆盖的经营地址。若覆盖多场所，应表述认证所覆盖的所有场所的地址信息；</w:t>
      </w:r>
    </w:p>
    <w:p w14:paraId="5FE45C2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注：认证证书中可不包括临时场所，当在认证证书上展示临时场所时，应注明这些场所为临时场所。</w:t>
      </w:r>
    </w:p>
    <w:p w14:paraId="6FC0983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（2）获证组织IMS所覆盖的产品、活动、服务的范围；包括每个场所相应的认证范围，且没有误导或歧义（适用时）；</w:t>
      </w:r>
    </w:p>
    <w:p w14:paraId="70E5206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（3）认证依据的认证标准</w:t>
      </w:r>
      <w:r>
        <w:rPr>
          <w:rFonts w:hint="eastAsia" w:ascii="Times New Roman" w:hAnsi="Times New Roman" w:cs="Times New Roman"/>
          <w:spacing w:val="-3"/>
          <w:sz w:val="24"/>
          <w:szCs w:val="24"/>
          <w:lang w:eastAsia="zh-CN"/>
        </w:rPr>
        <w:t>GB/T 31950</w:t>
      </w:r>
      <w:r>
        <w:rPr>
          <w:rFonts w:ascii="Times New Roman" w:cs="Times New Roman" w:hAnsiTheme="minorEastAsia"/>
          <w:spacing w:val="5"/>
          <w:sz w:val="24"/>
          <w:szCs w:val="24"/>
          <w:lang w:eastAsia="zh-CN"/>
        </w:rPr>
        <w:t>所采用的当时有效版本的完整标准号；</w:t>
      </w:r>
    </w:p>
    <w:p w14:paraId="6131AE5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（4）认证证书签发日期和有效截止日期，认证证书应注明：获证组织必须定期接受监督审核并经审核合格此证书方继续有效的提示信息；</w:t>
      </w:r>
    </w:p>
    <w:p w14:paraId="13E4484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（5）认证证书编号（或唯一的识别代码）；</w:t>
      </w:r>
    </w:p>
    <w:p w14:paraId="7420A4D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（6）认证机构名称、地址；</w:t>
      </w:r>
    </w:p>
    <w:p w14:paraId="5FA7BDC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（7）认证标志、相关的认可标识及认可注册号（适用时）；</w:t>
      </w:r>
    </w:p>
    <w:p w14:paraId="271A578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（8）认证证书信息及认证证书状态的查询途径。 </w:t>
      </w:r>
    </w:p>
    <w:p w14:paraId="522AD95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6.3 认证标志</w:t>
      </w:r>
    </w:p>
    <w:p w14:paraId="0FA691DF">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自行制定的认证标志的式样、文字和名称，不得违反法律、行政法规的规定，不得与国家统一的自愿性认证标志或其他认证机构自行制定并公布的认证标志相同或者近似，不得妨碍社会管理，不得有损社会道德风尚。 </w:t>
      </w:r>
    </w:p>
    <w:p w14:paraId="00D36C84">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S&amp;P认证标志如图 1</w:t>
      </w:r>
    </w:p>
    <w:p w14:paraId="25CE427C">
      <w:pPr>
        <w:widowControl w:val="0"/>
        <w:autoSpaceDE w:val="0"/>
        <w:autoSpaceDN w:val="0"/>
        <w:adjustRightInd w:val="0"/>
        <w:spacing w:beforeLines="50" w:after="0"/>
        <w:ind w:firstLine="480" w:firstLineChars="200"/>
        <w:jc w:val="center"/>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drawing>
          <wp:inline distT="0" distB="0" distL="0" distR="0">
            <wp:extent cx="1787525" cy="1259205"/>
            <wp:effectExtent l="19050" t="0" r="2896" b="0"/>
            <wp:docPr id="2" name="图片 3" descr="F:\01 各认证机构资料\06 标普认证\证书\胡国明发来样板\S&am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F:\01 各认证机构资料\06 标普认证\证书\胡国明发来样板\S&amp;P.jpg"/>
                    <pic:cNvPicPr>
                      <a:picLocks noChangeAspect="1" noChangeArrowheads="1"/>
                    </pic:cNvPicPr>
                  </pic:nvPicPr>
                  <pic:blipFill>
                    <a:blip r:embed="rId8"/>
                    <a:srcRect/>
                    <a:stretch>
                      <a:fillRect/>
                    </a:stretch>
                  </pic:blipFill>
                  <pic:spPr>
                    <a:xfrm>
                      <a:off x="0" y="0"/>
                      <a:ext cx="1797239" cy="1266184"/>
                    </a:xfrm>
                    <a:prstGeom prst="rect">
                      <a:avLst/>
                    </a:prstGeom>
                    <a:noFill/>
                    <a:ln w="9525">
                      <a:noFill/>
                      <a:miter lim="800000"/>
                      <a:headEnd/>
                      <a:tailEnd/>
                    </a:ln>
                  </pic:spPr>
                </pic:pic>
              </a:graphicData>
            </a:graphic>
          </wp:inline>
        </w:drawing>
      </w:r>
    </w:p>
    <w:p w14:paraId="2A9AAFBD">
      <w:pPr>
        <w:widowControl w:val="0"/>
        <w:autoSpaceDE w:val="0"/>
        <w:autoSpaceDN w:val="0"/>
        <w:adjustRightInd w:val="0"/>
        <w:spacing w:beforeLines="50" w:after="0"/>
        <w:ind w:firstLine="480" w:firstLineChars="200"/>
        <w:jc w:val="cente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图 1</w:t>
      </w:r>
    </w:p>
    <w:p w14:paraId="2646C076">
      <w:pPr>
        <w:pStyle w:val="2"/>
        <w:rPr>
          <w:rFonts w:hAnsi="Times New Roman"/>
          <w:lang w:eastAsia="zh-CN" w:bidi="ar-SA"/>
        </w:rPr>
      </w:pPr>
      <w:bookmarkStart w:id="20" w:name="_Toc227741583"/>
      <w:r>
        <w:rPr>
          <w:rFonts w:hAnsi="Times New Roman"/>
          <w:lang w:eastAsia="zh-CN" w:bidi="ar-SA"/>
        </w:rPr>
        <w:t xml:space="preserve">7 </w:t>
      </w:r>
      <w:r>
        <w:rPr>
          <w:rFonts w:hint="eastAsia"/>
          <w:lang w:eastAsia="zh-CN" w:bidi="ar-SA"/>
        </w:rPr>
        <w:t>认证证书的暂停、撤销和注销</w:t>
      </w:r>
      <w:bookmarkEnd w:id="20"/>
    </w:p>
    <w:p w14:paraId="3A6794F1">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7.1 总则</w:t>
      </w:r>
    </w:p>
    <w:p w14:paraId="56D2A24F">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S&amp;P建立并实施《对授予、保持、扩大、更新、缩小、暂停/恢复及撤销认证条件的规定》，不得随意暂停、撤销和注销认证证书。 </w:t>
      </w:r>
    </w:p>
    <w:p w14:paraId="6AD8E84F">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7.2 认证证书的暂停 </w:t>
      </w:r>
    </w:p>
    <w:p w14:paraId="688D413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7.2.1 获证组织有以下情形之一的，S&amp;P应在调查核实后5日内暂停其认证证书，并保留相应证据：</w:t>
      </w:r>
    </w:p>
    <w:p w14:paraId="2576515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（1）IMS持续或严重不满足认证要求的，包括IMS文件与实际业务运作严重脱离；</w:t>
      </w:r>
    </w:p>
    <w:p w14:paraId="252A3B7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（2）不满足IMS适用的法律法规要求，且未采取有效纠正措施的；</w:t>
      </w:r>
    </w:p>
    <w:p w14:paraId="31840F4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（3）受到与IMS相关的行政处罚，且尚未完成整改的；</w:t>
      </w:r>
    </w:p>
    <w:p w14:paraId="2325811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（4）发生重大质量、环境、安全等事故，反映获证组织IMS运行存在重大缺陷的；</w:t>
      </w:r>
    </w:p>
    <w:p w14:paraId="075E95F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（5）拒绝配合市场监管部门的认证执法监督检查，或者提供虚假材料或信息的；</w:t>
      </w:r>
    </w:p>
    <w:p w14:paraId="5219C25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（6）持有的与IMS范围有关的行政许可文件、资质证书、强制性认证证书等过期失效的；</w:t>
      </w:r>
    </w:p>
    <w:p w14:paraId="7FB3FA0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（7）不能按照规定的时间间隔接受监督审核的；</w:t>
      </w:r>
    </w:p>
    <w:p w14:paraId="625E9D7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（8）未按相关规定正确引用和宣传获得的认证证书和有关信息，包括认证证书和认证标志的使用；</w:t>
      </w:r>
    </w:p>
    <w:p w14:paraId="0C84F80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（9）不承担、履行认证合同约定的责任和义务的；</w:t>
      </w:r>
    </w:p>
    <w:p w14:paraId="45960EF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（10）被有关行政监管部门责令停业整顿的；</w:t>
      </w:r>
    </w:p>
    <w:p w14:paraId="5C14C61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（11）发生与质量环境安全等相关重大舆情的；</w:t>
      </w:r>
    </w:p>
    <w:p w14:paraId="0D986EE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（12）主动请求暂停的；</w:t>
      </w:r>
    </w:p>
    <w:p w14:paraId="7AB1BEC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（13）其他应暂停认证证书的。 </w:t>
      </w:r>
    </w:p>
    <w:p w14:paraId="11C5D04F">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7.</w:t>
      </w:r>
      <w:r>
        <w:rPr>
          <w:rFonts w:hint="eastAsia" w:ascii="Times New Roman" w:cs="Times New Roman" w:hAnsiTheme="minorEastAsia"/>
          <w:sz w:val="24"/>
          <w:szCs w:val="24"/>
          <w:lang w:eastAsia="zh-CN" w:bidi="ar-SA"/>
        </w:rPr>
        <w:t xml:space="preserve">2.2  S&amp;P可根据暂停的原因和性质确定暂停期限，暂停期限最长不得超过 6个月。 </w:t>
      </w:r>
    </w:p>
    <w:p w14:paraId="708158A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7.</w:t>
      </w:r>
      <w:r>
        <w:rPr>
          <w:rFonts w:hint="eastAsia" w:ascii="Times New Roman" w:cs="Times New Roman" w:hAnsiTheme="minorEastAsia"/>
          <w:sz w:val="24"/>
          <w:szCs w:val="24"/>
          <w:lang w:eastAsia="zh-CN" w:bidi="ar-SA"/>
        </w:rPr>
        <w:t xml:space="preserve">2.3 暂停期间，IMS认证证书暂时无效。如获证组织采取有效的纠正措施，造成暂停的原因已消除的，S&amp;P应恢复其认证证书，并保留相应证据。 </w:t>
      </w:r>
    </w:p>
    <w:p w14:paraId="30FCAE27">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7.3 认证证书的撤销</w:t>
      </w:r>
    </w:p>
    <w:p w14:paraId="4470DBB3">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获证组织有以下情形之一的，S&amp;P应在获得相关信息并调查核实后 5 日内撤销其认证证书，并保留相应证据：</w:t>
      </w:r>
    </w:p>
    <w:p w14:paraId="11A78BA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（1）被注销或撤销法律地位证明文件的；</w:t>
      </w:r>
    </w:p>
    <w:p w14:paraId="2588B1E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（2）被“国家企业信用信息公示系统”和“信用中国”列入严重违法失信名单的；</w:t>
      </w:r>
    </w:p>
    <w:p w14:paraId="2D85EBC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（3）认证证书的暂停期限已满，但导致暂停的问题未得到解决或有效纠正的；</w:t>
      </w:r>
    </w:p>
    <w:p w14:paraId="7389C0D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（4）经行政监管部门确认因获证组织违规而造成产品和服务等重大安全事故的；</w:t>
      </w:r>
    </w:p>
    <w:p w14:paraId="3290E86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（5）IMS没有运行或者已不具备运行条件的；</w:t>
      </w:r>
    </w:p>
    <w:p w14:paraId="4BFEEA2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（6）其他应撤销认证证书的。 </w:t>
      </w:r>
    </w:p>
    <w:p w14:paraId="0D6CB389">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7.4 认证证书的注销</w:t>
      </w:r>
    </w:p>
    <w:p w14:paraId="21C03353">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获证组织主动申请不再保持认证证书时，S&amp;P应确认在不存在暂停或撤销情形后，注销其认证证书，并保留相应证据。</w:t>
      </w:r>
    </w:p>
    <w:p w14:paraId="5D886426">
      <w:pPr>
        <w:pStyle w:val="2"/>
        <w:rPr>
          <w:rFonts w:hAnsi="Times New Roman"/>
          <w:lang w:eastAsia="zh-CN" w:bidi="ar-SA"/>
        </w:rPr>
      </w:pPr>
      <w:bookmarkStart w:id="21" w:name="_Toc227741584"/>
      <w:r>
        <w:rPr>
          <w:rFonts w:hint="eastAsia" w:hAnsi="Times New Roman"/>
          <w:lang w:eastAsia="zh-CN" w:bidi="ar-SA"/>
        </w:rPr>
        <w:t>8</w:t>
      </w:r>
      <w:r>
        <w:rPr>
          <w:rFonts w:hAnsi="Times New Roman"/>
          <w:lang w:eastAsia="zh-CN" w:bidi="ar-SA"/>
        </w:rPr>
        <w:t xml:space="preserve"> </w:t>
      </w:r>
      <w:r>
        <w:rPr>
          <w:rFonts w:hint="eastAsia"/>
          <w:lang w:eastAsia="zh-CN" w:bidi="ar-SA"/>
        </w:rPr>
        <w:t>申诉（投诉）处理</w:t>
      </w:r>
      <w:bookmarkEnd w:id="21"/>
    </w:p>
    <w:p w14:paraId="6102B70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8.1 </w:t>
      </w:r>
      <w:r>
        <w:rPr>
          <w:rFonts w:hint="eastAsia" w:ascii="Times New Roman" w:cs="Times New Roman" w:hAnsiTheme="minorEastAsia"/>
          <w:sz w:val="24"/>
          <w:szCs w:val="24"/>
          <w:lang w:eastAsia="zh-CN" w:bidi="ar-SA"/>
        </w:rPr>
        <w:t xml:space="preserve">S&amp;P建立并实施《申诉投诉管理程序》。认证委托人对认证决定有异议的，可以向S&amp;P提出申诉。任何组织和个人对认证过程和认证决定有异议的，可以向S&amp;P提出投诉。 </w:t>
      </w:r>
    </w:p>
    <w:p w14:paraId="0310F5A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8.</w:t>
      </w:r>
      <w:r>
        <w:rPr>
          <w:rFonts w:hint="eastAsia" w:ascii="Times New Roman" w:cs="Times New Roman" w:hAnsiTheme="minorEastAsia"/>
          <w:sz w:val="24"/>
          <w:szCs w:val="24"/>
          <w:lang w:eastAsia="zh-CN" w:bidi="ar-SA"/>
        </w:rPr>
        <w:t>2 申诉（投诉）的提交、调查和决定不应造成针对申诉人/投诉人的歧视。S&amp;P对申诉人（投诉人）、申诉（投诉）事项的信息应予以保密。</w:t>
      </w:r>
    </w:p>
    <w:p w14:paraId="4B1ECF6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8.3 </w:t>
      </w:r>
      <w:r>
        <w:rPr>
          <w:rFonts w:hint="eastAsia" w:ascii="Times New Roman" w:cs="Times New Roman" w:hAnsiTheme="minorEastAsia"/>
          <w:sz w:val="24"/>
          <w:szCs w:val="24"/>
          <w:lang w:eastAsia="zh-CN" w:bidi="ar-SA"/>
        </w:rPr>
        <w:t>S&amp;P应及时、公正、有效地处理申诉（投诉），采取必要的纠正措施。对申诉（投诉）的处理决定，应由与申诉（投诉）事项无关的人员做出，或经其审核和批准，并应在 60 日内将处理结果书面告知申诉人（投诉人）。</w:t>
      </w:r>
    </w:p>
    <w:p w14:paraId="54C5CB49">
      <w:pPr>
        <w:pStyle w:val="2"/>
        <w:rPr>
          <w:rFonts w:hAnsi="Times New Roman"/>
          <w:lang w:eastAsia="zh-CN" w:bidi="ar-SA"/>
        </w:rPr>
      </w:pPr>
      <w:bookmarkStart w:id="22" w:name="_Toc227741585"/>
      <w:r>
        <w:rPr>
          <w:rFonts w:hint="eastAsia" w:hAnsi="Times New Roman"/>
          <w:lang w:eastAsia="zh-CN" w:bidi="ar-SA"/>
        </w:rPr>
        <w:t>9</w:t>
      </w:r>
      <w:r>
        <w:rPr>
          <w:rFonts w:hAnsi="Times New Roman"/>
          <w:lang w:eastAsia="zh-CN" w:bidi="ar-SA"/>
        </w:rPr>
        <w:t xml:space="preserve"> </w:t>
      </w:r>
      <w:r>
        <w:rPr>
          <w:rFonts w:hint="eastAsia"/>
          <w:lang w:eastAsia="zh-CN" w:bidi="ar-SA"/>
        </w:rPr>
        <w:t>信息公开与报告</w:t>
      </w:r>
      <w:bookmarkEnd w:id="22"/>
    </w:p>
    <w:p w14:paraId="71092C8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9.1 </w:t>
      </w:r>
      <w:r>
        <w:rPr>
          <w:rFonts w:hint="eastAsia" w:ascii="Times New Roman" w:cs="Times New Roman" w:hAnsiTheme="minorEastAsia"/>
          <w:sz w:val="24"/>
          <w:szCs w:val="24"/>
          <w:lang w:eastAsia="zh-CN" w:bidi="ar-SA"/>
        </w:rPr>
        <w:t>S&amp;P建立并实施了《信息通报管理规定》，按照国家认监委关于认证信息上报的要求，按时上报认证相关信息，至少包括：</w:t>
      </w:r>
    </w:p>
    <w:p w14:paraId="47A7F06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1</w:t>
      </w:r>
      <w:r>
        <w:rPr>
          <w:rFonts w:hint="eastAsia" w:ascii="Times New Roman" w:cs="Times New Roman" w:hAnsiTheme="minorEastAsia"/>
          <w:sz w:val="24"/>
          <w:szCs w:val="24"/>
          <w:lang w:eastAsia="zh-CN" w:bidi="ar-SA"/>
        </w:rPr>
        <w:t>）上一年度工作报告；</w:t>
      </w:r>
    </w:p>
    <w:p w14:paraId="5E271B7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2</w:t>
      </w:r>
      <w:r>
        <w:rPr>
          <w:rFonts w:hint="eastAsia" w:ascii="Times New Roman" w:cs="Times New Roman" w:hAnsiTheme="minorEastAsia"/>
          <w:sz w:val="24"/>
          <w:szCs w:val="24"/>
          <w:lang w:eastAsia="zh-CN" w:bidi="ar-SA"/>
        </w:rPr>
        <w:t>）社会责任报告；</w:t>
      </w:r>
    </w:p>
    <w:p w14:paraId="7F6DBBF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3</w:t>
      </w:r>
      <w:r>
        <w:rPr>
          <w:rFonts w:hint="eastAsia" w:ascii="Times New Roman" w:cs="Times New Roman" w:hAnsiTheme="minorEastAsia"/>
          <w:sz w:val="24"/>
          <w:szCs w:val="24"/>
          <w:lang w:eastAsia="zh-CN" w:bidi="ar-SA"/>
        </w:rPr>
        <w:t>）认证计划及认证结果；</w:t>
      </w:r>
    </w:p>
    <w:p w14:paraId="6EFCF3C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4</w:t>
      </w:r>
      <w:r>
        <w:rPr>
          <w:rFonts w:hint="eastAsia" w:ascii="Times New Roman" w:cs="Times New Roman" w:hAnsiTheme="minorEastAsia"/>
          <w:sz w:val="24"/>
          <w:szCs w:val="24"/>
          <w:lang w:eastAsia="zh-CN" w:bidi="ar-SA"/>
        </w:rPr>
        <w:t>）认证证书的状态；</w:t>
      </w:r>
    </w:p>
    <w:p w14:paraId="1360A85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）其他应报告的信息。</w:t>
      </w:r>
    </w:p>
    <w:p w14:paraId="7279FC2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9.2</w:t>
      </w:r>
      <w:r>
        <w:rPr>
          <w:rFonts w:hint="eastAsia" w:ascii="Times New Roman" w:cs="Times New Roman" w:hAnsiTheme="minorEastAsia"/>
          <w:sz w:val="24"/>
          <w:szCs w:val="24"/>
          <w:lang w:eastAsia="zh-CN" w:bidi="ar-SA"/>
        </w:rPr>
        <w:t xml:space="preserve"> S&amp;P应至少在现场审核实施前 3 日，将审核计划上报国家认监委。 </w:t>
      </w:r>
    </w:p>
    <w:p w14:paraId="2E8D38D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w:t>
      </w:r>
      <w:r>
        <w:rPr>
          <w:rFonts w:hint="eastAsia" w:ascii="Times New Roman" w:cs="Times New Roman" w:hAnsiTheme="minorEastAsia"/>
          <w:sz w:val="24"/>
          <w:szCs w:val="24"/>
          <w:lang w:eastAsia="zh-CN" w:bidi="ar-SA"/>
        </w:rPr>
        <w:t>3 S&amp;P在颁发认证证书后，应在次月10日前将认证结果相关信息报送国家认监委。</w:t>
      </w:r>
    </w:p>
    <w:p w14:paraId="260A2C00">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S&amp;P通过网站向公众提供查询认证证书有效性的方式，可通过“国家认监委”或“全国认证认可信息公共服务平台（认 e云）”查询。 </w:t>
      </w:r>
    </w:p>
    <w:p w14:paraId="59C73F4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w:t>
      </w:r>
      <w:r>
        <w:rPr>
          <w:rFonts w:hint="eastAsia" w:ascii="Times New Roman" w:cs="Times New Roman" w:hAnsiTheme="minorEastAsia"/>
          <w:sz w:val="24"/>
          <w:szCs w:val="24"/>
          <w:lang w:eastAsia="zh-CN" w:bidi="ar-SA"/>
        </w:rPr>
        <w:t xml:space="preserve">4 S&amp;P通过其网站或者其他方式公开暂停、撤销、注销认证证书的信息。暂停认证证书的，应明确暂停的起始日期和暂停期限。S&amp;P应在暂停、撤销、注销认证证书之日起 2个工作日内，按规定程序和要求将相关信息报送国家认监委。 </w:t>
      </w:r>
    </w:p>
    <w:p w14:paraId="0E080C1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w:t>
      </w:r>
      <w:r>
        <w:rPr>
          <w:rFonts w:hint="eastAsia" w:ascii="Times New Roman" w:cs="Times New Roman" w:hAnsiTheme="minorEastAsia"/>
          <w:sz w:val="24"/>
          <w:szCs w:val="24"/>
          <w:lang w:eastAsia="zh-CN" w:bidi="ar-SA"/>
        </w:rPr>
        <w:t>5 获证组织发生重大事故的，S&amp;P应对该组织认证过程进行自查，按照认证行政监管部门的要求，在规定的时间内提供相关认证材料。</w:t>
      </w:r>
    </w:p>
    <w:p w14:paraId="49629B10">
      <w:pPr>
        <w:pStyle w:val="2"/>
        <w:rPr>
          <w:rFonts w:hAnsi="Times New Roman"/>
          <w:lang w:eastAsia="zh-CN" w:bidi="ar-SA"/>
        </w:rPr>
      </w:pPr>
      <w:bookmarkStart w:id="23" w:name="_Toc227741586"/>
      <w:r>
        <w:rPr>
          <w:rFonts w:hint="eastAsia" w:hAnsi="Times New Roman"/>
          <w:lang w:eastAsia="zh-CN" w:bidi="ar-SA"/>
        </w:rPr>
        <w:t>10</w:t>
      </w:r>
      <w:r>
        <w:rPr>
          <w:rFonts w:hAnsi="Times New Roman"/>
          <w:lang w:eastAsia="zh-CN" w:bidi="ar-SA"/>
        </w:rPr>
        <w:t xml:space="preserve"> </w:t>
      </w:r>
      <w:r>
        <w:rPr>
          <w:rFonts w:hint="eastAsia"/>
          <w:lang w:eastAsia="zh-CN" w:bidi="ar-SA"/>
        </w:rPr>
        <w:t>认证记录</w:t>
      </w:r>
      <w:bookmarkEnd w:id="23"/>
    </w:p>
    <w:p w14:paraId="617A461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 xml:space="preserve">1 S&amp;P已建立并实施了《认证档案管理规定》，规定了认证记录、认证资料归档留存制度，记录认证活动全过程并妥善保存。归档留存期限为认证证书有效期届满之日起2年以上，或被注销、撤销之日起2年以上。 </w:t>
      </w:r>
    </w:p>
    <w:p w14:paraId="00487AD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2 认证记录应真实、准确、完整，以证实认证活动得到有效实施。认证记录包括但不限于：</w:t>
      </w:r>
    </w:p>
    <w:p w14:paraId="20CD3BE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（1）认证申请书；</w:t>
      </w:r>
    </w:p>
    <w:p w14:paraId="43E906B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（2）认证申请评审记录；</w:t>
      </w:r>
    </w:p>
    <w:p w14:paraId="7E65244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（3）认证合同；</w:t>
      </w:r>
    </w:p>
    <w:p w14:paraId="0DDDBD0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（4）审核方案，包括多场所抽样方法（适用时）；</w:t>
      </w:r>
    </w:p>
    <w:p w14:paraId="5134781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（5）确定审核时间的理由（计算过程）；</w:t>
      </w:r>
    </w:p>
    <w:p w14:paraId="4327FF7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（6）审核计划；</w:t>
      </w:r>
    </w:p>
    <w:p w14:paraId="7DDA265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（7）首、末次会议签到表；</w:t>
      </w:r>
    </w:p>
    <w:p w14:paraId="76E4C31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（8）现场审核记录；</w:t>
      </w:r>
    </w:p>
    <w:p w14:paraId="28AB8E7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（9）不符合报告及验证记录；</w:t>
      </w:r>
    </w:p>
    <w:p w14:paraId="102D261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（10）审核报告；</w:t>
      </w:r>
    </w:p>
    <w:p w14:paraId="1E6E886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（11）认证决定记录。 </w:t>
      </w:r>
    </w:p>
    <w:p w14:paraId="6E6168D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3 在认证证书有效期内，认证活动参与各方签字或者盖章的认证记录、资料等，应保存具有法律效力的原件，可以纸质文件或符合《电子签名法》规定的电子文件形式保存。签字或盖章的认证记录至少包括：</w:t>
      </w:r>
    </w:p>
    <w:p w14:paraId="212EA2E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（1）认证申请书；</w:t>
      </w:r>
    </w:p>
    <w:p w14:paraId="56EF7FF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（2）认证合同；</w:t>
      </w:r>
    </w:p>
    <w:p w14:paraId="3D6BE70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（3）审核计划；</w:t>
      </w:r>
    </w:p>
    <w:p w14:paraId="13E641F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（4）首、末次会议签到表；</w:t>
      </w:r>
    </w:p>
    <w:p w14:paraId="5ED3F2C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（5）不符合报告；</w:t>
      </w:r>
    </w:p>
    <w:p w14:paraId="0E551FD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（6）认证决定的结论。</w:t>
      </w:r>
    </w:p>
    <w:p w14:paraId="5B6435E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 xml:space="preserve">4 认证记录应使用中文，以电子文档形式保存认证记录的，应采用不可编辑的方式。 </w:t>
      </w:r>
    </w:p>
    <w:p w14:paraId="6CDE231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5 为了证实认证活动的实施，除了认证机构要保持上述认证记录外，获证组织应留存认证证书有效期内相应的认证记录，至少包括：</w:t>
      </w:r>
    </w:p>
    <w:p w14:paraId="374672E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（1）认证合同；</w:t>
      </w:r>
    </w:p>
    <w:p w14:paraId="7777E04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（2）审核计划；</w:t>
      </w:r>
    </w:p>
    <w:p w14:paraId="6F11D5C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（3）首、末次会议签到表；</w:t>
      </w:r>
    </w:p>
    <w:p w14:paraId="5A7BF31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（4）不符合报告及原因分析和纠正措施；</w:t>
      </w:r>
    </w:p>
    <w:p w14:paraId="4ABCADF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（5）审核报告；</w:t>
      </w:r>
    </w:p>
    <w:p w14:paraId="60E27CC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（6）暂停、撤销通知（适用时）。</w:t>
      </w:r>
    </w:p>
    <w:p w14:paraId="6B7D34CA">
      <w:pPr>
        <w:pStyle w:val="2"/>
        <w:rPr>
          <w:rFonts w:ascii="Times New Roman" w:hAnsi="Times New Roman" w:cs="Times New Roman"/>
          <w:lang w:eastAsia="zh-CN" w:bidi="ar-SA"/>
        </w:rPr>
      </w:pPr>
      <w:bookmarkStart w:id="24" w:name="_Toc227741587"/>
      <w:r>
        <w:rPr>
          <w:rFonts w:ascii="Times New Roman" w:hAnsi="Times New Roman" w:cs="Times New Roman"/>
          <w:lang w:eastAsia="zh-CN" w:bidi="ar-SA"/>
        </w:rPr>
        <w:t xml:space="preserve">11 </w:t>
      </w:r>
      <w:r>
        <w:rPr>
          <w:rFonts w:ascii="Times New Roman" w:cs="Times New Roman"/>
          <w:lang w:eastAsia="zh-CN" w:bidi="ar-SA"/>
        </w:rPr>
        <w:t>其他</w:t>
      </w:r>
      <w:bookmarkEnd w:id="24"/>
    </w:p>
    <w:p w14:paraId="377DD63F">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11.1</w:t>
      </w:r>
      <w:r>
        <w:rPr>
          <w:rFonts w:ascii="Times New Roman" w:cs="Times New Roman"/>
          <w:sz w:val="24"/>
          <w:szCs w:val="24"/>
          <w:lang w:eastAsia="zh-CN" w:bidi="ar-SA"/>
        </w:rPr>
        <w:t>认证标准换版</w:t>
      </w:r>
    </w:p>
    <w:p w14:paraId="7BB07468">
      <w:pPr>
        <w:ind w:firstLine="480" w:firstLineChars="200"/>
        <w:rPr>
          <w:rFonts w:ascii="Times New Roman" w:hAnsi="Times New Roman" w:cs="Times New Roman"/>
          <w:sz w:val="24"/>
          <w:szCs w:val="24"/>
          <w:lang w:eastAsia="zh-CN" w:bidi="ar-SA"/>
        </w:rPr>
      </w:pPr>
      <w:r>
        <w:rPr>
          <w:rFonts w:ascii="Times New Roman" w:cs="Times New Roman"/>
          <w:sz w:val="24"/>
          <w:szCs w:val="24"/>
          <w:lang w:eastAsia="zh-CN" w:bidi="ar-SA"/>
        </w:rPr>
        <w:t>认证机构应按照国家认监委发布的管理体系认证标准换版工作要求，落实标准的换版工作，确保认证委托人能够及时获得新版标准认证。</w:t>
      </w:r>
      <w:r>
        <w:rPr>
          <w:rFonts w:ascii="Times New Roman" w:hAnsi="Times New Roman" w:cs="Times New Roman"/>
          <w:sz w:val="24"/>
          <w:szCs w:val="24"/>
          <w:lang w:eastAsia="zh-CN" w:bidi="ar-SA"/>
        </w:rPr>
        <w:t xml:space="preserve"> </w:t>
      </w:r>
    </w:p>
    <w:p w14:paraId="326155D9">
      <w:pPr>
        <w:rPr>
          <w:rFonts w:ascii="Times New Roman" w:cs="Times New Roman"/>
          <w:sz w:val="24"/>
          <w:szCs w:val="24"/>
          <w:lang w:eastAsia="zh-CN" w:bidi="ar-SA"/>
        </w:rPr>
      </w:pPr>
      <w:r>
        <w:rPr>
          <w:rFonts w:ascii="Times New Roman" w:cs="Times New Roman"/>
          <w:sz w:val="24"/>
          <w:szCs w:val="24"/>
          <w:lang w:eastAsia="zh-CN" w:bidi="ar-SA"/>
        </w:rPr>
        <w:t>11.</w:t>
      </w:r>
      <w:r>
        <w:rPr>
          <w:rFonts w:hint="eastAsia" w:ascii="Times New Roman" w:cs="Times New Roman"/>
          <w:sz w:val="24"/>
          <w:szCs w:val="24"/>
          <w:lang w:eastAsia="zh-CN" w:bidi="ar-SA"/>
        </w:rPr>
        <w:t>2</w:t>
      </w:r>
      <w:r>
        <w:rPr>
          <w:rFonts w:ascii="Times New Roman" w:cs="Times New Roman"/>
          <w:sz w:val="24"/>
          <w:szCs w:val="24"/>
          <w:lang w:eastAsia="zh-CN" w:bidi="ar-SA"/>
        </w:rPr>
        <w:t>内部审核</w:t>
      </w:r>
    </w:p>
    <w:p w14:paraId="13A9EF24">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S&amp;P</w:t>
      </w:r>
      <w:r>
        <w:rPr>
          <w:rFonts w:ascii="Times New Roman" w:cs="Times New Roman"/>
          <w:sz w:val="24"/>
          <w:szCs w:val="24"/>
          <w:lang w:eastAsia="zh-CN" w:bidi="ar-SA"/>
        </w:rPr>
        <w:t>建立并实施文件化的内部审核程序，确保至少每年对</w:t>
      </w:r>
      <w:r>
        <w:rPr>
          <w:rFonts w:ascii="Times New Roman" w:hAnsi="Times New Roman" w:cs="Times New Roman"/>
          <w:sz w:val="24"/>
          <w:szCs w:val="24"/>
          <w:lang w:eastAsia="zh-CN" w:bidi="ar-SA"/>
        </w:rPr>
        <w:t>IMS</w:t>
      </w:r>
      <w:r>
        <w:rPr>
          <w:rFonts w:ascii="Times New Roman" w:cs="Times New Roman"/>
          <w:sz w:val="24"/>
          <w:szCs w:val="24"/>
          <w:lang w:eastAsia="zh-CN" w:bidi="ar-SA"/>
        </w:rPr>
        <w:t>认证开展情况实施内部审核。内部审核应包括对本规则执行情况的自查，并保持相应记录和报告。</w:t>
      </w:r>
    </w:p>
    <w:p w14:paraId="14065374">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3</w:t>
      </w:r>
      <w:r>
        <w:rPr>
          <w:rFonts w:ascii="Times New Roman" w:cs="Times New Roman"/>
          <w:sz w:val="24"/>
          <w:szCs w:val="24"/>
          <w:lang w:eastAsia="zh-CN" w:bidi="ar-SA"/>
        </w:rPr>
        <w:t>技术服务</w:t>
      </w:r>
    </w:p>
    <w:p w14:paraId="249C1571">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3</w:t>
      </w:r>
      <w:r>
        <w:rPr>
          <w:rFonts w:ascii="Times New Roman" w:hAnsi="Times New Roman" w:cs="Times New Roman"/>
          <w:sz w:val="24"/>
          <w:szCs w:val="24"/>
          <w:lang w:eastAsia="zh-CN" w:bidi="ar-SA"/>
        </w:rPr>
        <w:t>.1 S&amp;P</w:t>
      </w:r>
      <w:r>
        <w:rPr>
          <w:rFonts w:ascii="Times New Roman" w:cs="Times New Roman"/>
          <w:sz w:val="24"/>
          <w:szCs w:val="24"/>
          <w:lang w:eastAsia="zh-CN" w:bidi="ar-SA"/>
        </w:rPr>
        <w:t>可为组织提供贯标服务，不得代替组织编制体系文件、开展内部审核和管理评审，严禁协助组织编造虚假管理体系文件、体系运行记录等。</w:t>
      </w:r>
    </w:p>
    <w:p w14:paraId="66822826">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3</w:t>
      </w:r>
      <w:r>
        <w:rPr>
          <w:rFonts w:ascii="Times New Roman" w:hAnsi="Times New Roman" w:cs="Times New Roman"/>
          <w:sz w:val="24"/>
          <w:szCs w:val="24"/>
          <w:lang w:eastAsia="zh-CN" w:bidi="ar-SA"/>
        </w:rPr>
        <w:t>.2</w:t>
      </w:r>
      <w:r>
        <w:rPr>
          <w:rFonts w:ascii="Times New Roman" w:cs="Times New Roman"/>
          <w:sz w:val="24"/>
          <w:szCs w:val="24"/>
          <w:lang w:eastAsia="zh-CN" w:bidi="ar-SA"/>
        </w:rPr>
        <w:t>为确保没有利益冲突，参与对某组织</w:t>
      </w:r>
      <w:r>
        <w:rPr>
          <w:rFonts w:ascii="Times New Roman" w:hAnsi="Times New Roman" w:cs="Times New Roman"/>
          <w:sz w:val="24"/>
          <w:szCs w:val="24"/>
          <w:lang w:eastAsia="zh-CN" w:bidi="ar-SA"/>
        </w:rPr>
        <w:t>IMS</w:t>
      </w:r>
      <w:r>
        <w:rPr>
          <w:rFonts w:ascii="Times New Roman" w:cs="Times New Roman"/>
          <w:sz w:val="24"/>
          <w:szCs w:val="24"/>
          <w:lang w:eastAsia="zh-CN" w:bidi="ar-SA"/>
        </w:rPr>
        <w:t>技术服务的人员</w:t>
      </w:r>
      <w:r>
        <w:rPr>
          <w:rFonts w:ascii="Times New Roman" w:hAnsi="Times New Roman" w:cs="Times New Roman"/>
          <w:sz w:val="24"/>
          <w:szCs w:val="24"/>
          <w:lang w:eastAsia="zh-CN" w:bidi="ar-SA"/>
        </w:rPr>
        <w:t>2</w:t>
      </w:r>
      <w:r>
        <w:rPr>
          <w:rFonts w:ascii="Times New Roman" w:cs="Times New Roman"/>
          <w:sz w:val="24"/>
          <w:szCs w:val="24"/>
          <w:lang w:eastAsia="zh-CN" w:bidi="ar-SA"/>
        </w:rPr>
        <w:t>年内不应被认证机构安排针对该组织的审核或其他认证活动。</w:t>
      </w:r>
      <w:r>
        <w:rPr>
          <w:rFonts w:ascii="Times New Roman" w:hAnsi="Times New Roman" w:cs="Times New Roman"/>
          <w:sz w:val="24"/>
          <w:szCs w:val="24"/>
          <w:lang w:eastAsia="zh-CN" w:bidi="ar-SA"/>
        </w:rPr>
        <w:t xml:space="preserve"> </w:t>
      </w:r>
    </w:p>
    <w:p w14:paraId="0F57455E">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4</w:t>
      </w:r>
      <w:r>
        <w:rPr>
          <w:rFonts w:ascii="Times New Roman" w:cs="Times New Roman"/>
          <w:sz w:val="24"/>
          <w:szCs w:val="24"/>
          <w:lang w:eastAsia="zh-CN" w:bidi="ar-SA"/>
        </w:rPr>
        <w:t>认证数据安全</w:t>
      </w:r>
    </w:p>
    <w:p w14:paraId="6FFD3644">
      <w:pPr>
        <w:ind w:firstLine="480" w:firstLineChars="200"/>
        <w:rPr>
          <w:rFonts w:ascii="Times New Roman" w:hAnsi="Times New Roman" w:cs="Times New Roman"/>
          <w:lang w:eastAsia="zh-CN" w:bidi="ar-SA"/>
        </w:rPr>
      </w:pPr>
      <w:r>
        <w:rPr>
          <w:rFonts w:ascii="Times New Roman" w:hAnsi="Times New Roman" w:cs="Times New Roman"/>
          <w:sz w:val="24"/>
          <w:szCs w:val="24"/>
          <w:lang w:eastAsia="zh-CN" w:bidi="ar-SA"/>
        </w:rPr>
        <w:t>S&amp;P</w:t>
      </w:r>
      <w:r>
        <w:rPr>
          <w:rFonts w:ascii="Times New Roman" w:cs="Times New Roman"/>
          <w:sz w:val="24"/>
          <w:szCs w:val="24"/>
          <w:lang w:eastAsia="zh-CN" w:bidi="ar-SA"/>
        </w:rPr>
        <w:t>应严格落实《中华人民共和国数据安全法》和《中华人民共和国网络安全法》等法律法规要求，在中华人民共和国境内开展认证活动中收集和产生的重要信息和数据应当在境内存储，确保信息和数据</w:t>
      </w:r>
      <w:r>
        <w:rPr>
          <w:rFonts w:ascii="Times New Roman" w:cs="Times New Roman"/>
          <w:lang w:eastAsia="zh-CN" w:bidi="ar-SA"/>
        </w:rPr>
        <w:t>处于有效保护和合法利用的状态。</w:t>
      </w:r>
      <w:r>
        <w:rPr>
          <w:rFonts w:ascii="Times New Roman" w:hAnsi="Times New Roman" w:cs="Times New Roman"/>
          <w:lang w:eastAsia="zh-CN" w:bidi="ar-SA"/>
        </w:rPr>
        <w:t xml:space="preserve"> </w:t>
      </w:r>
    </w:p>
    <w:p w14:paraId="4A478F72">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5</w:t>
      </w:r>
      <w:r>
        <w:rPr>
          <w:rFonts w:ascii="Times New Roman" w:cs="Times New Roman"/>
          <w:sz w:val="24"/>
          <w:szCs w:val="24"/>
          <w:lang w:eastAsia="zh-CN" w:bidi="ar-SA"/>
        </w:rPr>
        <w:t>认证收费</w:t>
      </w:r>
    </w:p>
    <w:p w14:paraId="352DFD54">
      <w:pPr>
        <w:ind w:firstLine="480" w:firstLineChars="200"/>
        <w:rPr>
          <w:rFonts w:ascii="Times New Roman" w:hAnsi="Times New Roman" w:cs="Times New Roman"/>
          <w:sz w:val="24"/>
          <w:szCs w:val="24"/>
          <w:lang w:eastAsia="zh-CN" w:bidi="ar-SA"/>
        </w:rPr>
      </w:pPr>
      <w:r>
        <w:rPr>
          <w:rFonts w:ascii="Times New Roman" w:cs="Times New Roman"/>
          <w:sz w:val="24"/>
          <w:szCs w:val="24"/>
          <w:lang w:eastAsia="zh-CN" w:bidi="ar-SA"/>
        </w:rPr>
        <w:t>按</w:t>
      </w:r>
      <w:r>
        <w:rPr>
          <w:rFonts w:ascii="Times New Roman" w:hAnsi="Times New Roman" w:cs="Times New Roman"/>
          <w:sz w:val="24"/>
          <w:szCs w:val="24"/>
          <w:lang w:eastAsia="zh-CN" w:bidi="ar-SA"/>
        </w:rPr>
        <w:t>S&amp;P</w:t>
      </w:r>
      <w:r>
        <w:rPr>
          <w:rFonts w:ascii="Times New Roman" w:cs="Times New Roman"/>
          <w:sz w:val="24"/>
          <w:szCs w:val="24"/>
          <w:lang w:eastAsia="zh-CN" w:bidi="ar-SA"/>
        </w:rPr>
        <w:t>公开文件《认证收费标准》执行。</w:t>
      </w:r>
    </w:p>
    <w:p w14:paraId="7ACA2E80">
      <w:pPr>
        <w:pStyle w:val="2"/>
        <w:rPr>
          <w:rFonts w:hAnsi="Times New Roman"/>
          <w:lang w:eastAsia="zh-CN" w:bidi="ar-SA"/>
        </w:rPr>
      </w:pPr>
      <w:bookmarkStart w:id="25" w:name="_Toc227741588"/>
      <w:r>
        <w:rPr>
          <w:rFonts w:hint="eastAsia" w:hAnsi="Times New Roman"/>
          <w:lang w:eastAsia="zh-CN" w:bidi="ar-SA"/>
        </w:rPr>
        <w:t>12</w:t>
      </w:r>
      <w:r>
        <w:rPr>
          <w:rFonts w:hAnsi="Times New Roman"/>
          <w:lang w:eastAsia="zh-CN" w:bidi="ar-SA"/>
        </w:rPr>
        <w:t xml:space="preserve"> </w:t>
      </w:r>
      <w:r>
        <w:rPr>
          <w:rFonts w:hint="eastAsia"/>
          <w:lang w:eastAsia="zh-CN" w:bidi="ar-SA"/>
        </w:rPr>
        <w:t>附则</w:t>
      </w:r>
      <w:bookmarkEnd w:id="25"/>
    </w:p>
    <w:p w14:paraId="0AE3B64B">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12.1</w:t>
      </w:r>
      <w:r>
        <w:rPr>
          <w:rFonts w:ascii="Times New Roman" w:cs="Times New Roman" w:hAnsiTheme="minorEastAsia"/>
          <w:sz w:val="24"/>
          <w:szCs w:val="24"/>
          <w:lang w:eastAsia="zh-CN" w:bidi="ar-SA"/>
        </w:rPr>
        <w:t>引用文件</w:t>
      </w:r>
    </w:p>
    <w:p w14:paraId="4B013879">
      <w:pPr>
        <w:rPr>
          <w:rFonts w:ascii="Times New Roman" w:hAnsi="Times New Roman" w:cs="Times New Roman"/>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1</w:t>
      </w: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 xml:space="preserve"> </w:t>
      </w:r>
      <w:r>
        <w:rPr>
          <w:rFonts w:hint="eastAsia" w:ascii="Times New Roman" w:hAnsi="Times New Roman" w:cs="Times New Roman"/>
          <w:spacing w:val="-3"/>
          <w:sz w:val="24"/>
          <w:szCs w:val="24"/>
          <w:lang w:eastAsia="zh-CN"/>
        </w:rPr>
        <w:t>GB/T 31950-2023《企业诚信管理体系 要求》</w:t>
      </w:r>
    </w:p>
    <w:p w14:paraId="15B668BE">
      <w:pPr>
        <w:rPr>
          <w:rFonts w:ascii="Times New Roman" w:hAnsi="Times New Roman" w:cs="Times New Roman"/>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2</w:t>
      </w: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 xml:space="preserve"> GB/T27021.1-2017</w:t>
      </w:r>
      <w:r>
        <w:rPr>
          <w:rFonts w:ascii="Times New Roman" w:cs="Times New Roman" w:hAnsiTheme="minorEastAsia"/>
          <w:sz w:val="24"/>
          <w:szCs w:val="24"/>
          <w:lang w:eastAsia="zh-CN" w:bidi="ar-SA"/>
        </w:rPr>
        <w:t>合格评定</w:t>
      </w:r>
      <w:r>
        <w:rPr>
          <w:rFonts w:ascii="Times New Roman" w:hAnsi="Times New Roman" w:cs="Times New Roman"/>
          <w:sz w:val="24"/>
          <w:szCs w:val="24"/>
          <w:lang w:eastAsia="zh-CN" w:bidi="ar-SA"/>
        </w:rPr>
        <w:tab/>
      </w:r>
      <w:r>
        <w:rPr>
          <w:rFonts w:ascii="Times New Roman" w:cs="Times New Roman" w:hAnsiTheme="minorEastAsia"/>
          <w:sz w:val="24"/>
          <w:szCs w:val="24"/>
          <w:lang w:eastAsia="zh-CN" w:bidi="ar-SA"/>
        </w:rPr>
        <w:t>管理体系审核认证机构要求</w:t>
      </w:r>
      <w:r>
        <w:rPr>
          <w:rFonts w:ascii="Times New Roman" w:hAnsi="Times New Roman" w:cs="Times New Roman"/>
          <w:sz w:val="24"/>
          <w:szCs w:val="24"/>
          <w:lang w:eastAsia="zh-CN" w:bidi="ar-SA"/>
        </w:rPr>
        <w:t xml:space="preserve"> </w:t>
      </w:r>
      <w:r>
        <w:rPr>
          <w:rFonts w:ascii="Times New Roman" w:cs="Times New Roman" w:hAnsiTheme="minorEastAsia"/>
          <w:sz w:val="24"/>
          <w:szCs w:val="24"/>
          <w:lang w:eastAsia="zh-CN" w:bidi="ar-SA"/>
        </w:rPr>
        <w:t>第</w:t>
      </w:r>
      <w:r>
        <w:rPr>
          <w:rFonts w:ascii="Times New Roman" w:hAnsi="Times New Roman" w:cs="Times New Roman"/>
          <w:sz w:val="24"/>
          <w:szCs w:val="24"/>
          <w:lang w:eastAsia="zh-CN" w:bidi="ar-SA"/>
        </w:rPr>
        <w:t>1</w:t>
      </w:r>
      <w:r>
        <w:rPr>
          <w:rFonts w:ascii="Times New Roman" w:cs="Times New Roman" w:hAnsiTheme="minorEastAsia"/>
          <w:sz w:val="24"/>
          <w:szCs w:val="24"/>
          <w:lang w:eastAsia="zh-CN" w:bidi="ar-SA"/>
        </w:rPr>
        <w:t>部分：要求</w:t>
      </w:r>
    </w:p>
    <w:p w14:paraId="6630E1FF">
      <w:pPr>
        <w:rPr>
          <w:rFonts w:ascii="Times New Roman" w:hAnsi="Times New Roman" w:cs="Times New Roman"/>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3</w:t>
      </w:r>
      <w:r>
        <w:rPr>
          <w:rFonts w:hint="eastAsia" w:ascii="Times New Roman" w:hAnsi="Times New Roman" w:cs="Times New Roman"/>
          <w:sz w:val="24"/>
          <w:szCs w:val="24"/>
          <w:lang w:eastAsia="zh-CN" w:bidi="ar-SA"/>
        </w:rPr>
        <w:t xml:space="preserve">） </w:t>
      </w:r>
      <w:r>
        <w:rPr>
          <w:rFonts w:ascii="Times New Roman" w:cs="Times New Roman" w:hAnsiTheme="minorEastAsia"/>
          <w:sz w:val="24"/>
          <w:szCs w:val="24"/>
          <w:lang w:eastAsia="zh-CN" w:bidi="ar-SA"/>
        </w:rPr>
        <w:t>国家认监委关于进一步规范管理体系认证活动切实提升认证有效性的通知</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国认监发〔</w:t>
      </w:r>
      <w:r>
        <w:rPr>
          <w:rFonts w:ascii="Times New Roman" w:hAnsi="Times New Roman" w:cs="Times New Roman"/>
          <w:sz w:val="24"/>
          <w:szCs w:val="24"/>
          <w:lang w:eastAsia="zh-CN" w:bidi="ar-SA"/>
        </w:rPr>
        <w:t>2025</w:t>
      </w:r>
      <w:r>
        <w:rPr>
          <w:rFonts w:ascii="Times New Roman" w:cs="Times New Roman" w:hAnsiTheme="minorEastAsia"/>
          <w:sz w:val="24"/>
          <w:szCs w:val="24"/>
          <w:lang w:eastAsia="zh-CN" w:bidi="ar-SA"/>
        </w:rPr>
        <w:t>〕</w:t>
      </w:r>
      <w:r>
        <w:rPr>
          <w:rFonts w:ascii="Times New Roman" w:hAnsi="Times New Roman" w:cs="Times New Roman"/>
          <w:sz w:val="24"/>
          <w:szCs w:val="24"/>
          <w:lang w:eastAsia="zh-CN" w:bidi="ar-SA"/>
        </w:rPr>
        <w:t>9</w:t>
      </w:r>
      <w:r>
        <w:rPr>
          <w:rFonts w:ascii="Times New Roman" w:cs="Times New Roman" w:hAnsiTheme="minorEastAsia"/>
          <w:sz w:val="24"/>
          <w:szCs w:val="24"/>
          <w:lang w:eastAsia="zh-CN" w:bidi="ar-SA"/>
        </w:rPr>
        <w:t>号</w:t>
      </w:r>
    </w:p>
    <w:p w14:paraId="26206703">
      <w:pPr>
        <w:rPr>
          <w:rFonts w:ascii="Times New Roman" w:cs="Times New Roman" w:hAnsiTheme="minorEastAsia"/>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4</w:t>
      </w:r>
      <w:r>
        <w:rPr>
          <w:rFonts w:hint="eastAsia" w:ascii="Times New Roman" w:hAnsi="Times New Roman" w:cs="Times New Roman"/>
          <w:sz w:val="24"/>
          <w:szCs w:val="24"/>
          <w:lang w:eastAsia="zh-CN" w:bidi="ar-SA"/>
        </w:rPr>
        <w:t>）</w:t>
      </w:r>
      <w:r>
        <w:rPr>
          <w:rFonts w:ascii="Times New Roman" w:cs="Times New Roman" w:hAnsiTheme="minorEastAsia"/>
          <w:sz w:val="24"/>
          <w:szCs w:val="24"/>
          <w:lang w:eastAsia="zh-CN" w:bidi="ar-SA"/>
        </w:rPr>
        <w:t>质量管理体系认证规则</w:t>
      </w:r>
      <w:r>
        <w:rPr>
          <w:rFonts w:hint="eastAsia" w:ascii="Times New Roman" w:cs="Times New Roman" w:hAnsiTheme="minorEastAsia"/>
          <w:sz w:val="24"/>
          <w:szCs w:val="24"/>
          <w:lang w:eastAsia="zh-CN" w:bidi="ar-SA"/>
        </w:rPr>
        <w:t xml:space="preserve">  </w:t>
      </w: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CNCA-QMS-01:2025</w:t>
      </w:r>
      <w:r>
        <w:rPr>
          <w:rFonts w:hint="eastAsia" w:ascii="Times New Roman" w:hAnsi="Times New Roman" w:cs="Times New Roman"/>
          <w:sz w:val="24"/>
          <w:szCs w:val="24"/>
          <w:lang w:eastAsia="zh-CN" w:bidi="ar-SA"/>
        </w:rPr>
        <w:t>）</w:t>
      </w:r>
    </w:p>
    <w:p w14:paraId="36C8BB95">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 xml:space="preserve"> </w:t>
      </w:r>
      <w:r>
        <w:rPr>
          <w:rFonts w:hint="eastAsia" w:ascii="Times New Roman" w:cs="Times New Roman" w:hAnsiTheme="minorEastAsia"/>
          <w:sz w:val="24"/>
          <w:szCs w:val="24"/>
          <w:lang w:eastAsia="zh-CN" w:bidi="ar-SA"/>
        </w:rPr>
        <w:t>S&amp;P-CX-13-2024 《申诉投诉管理程序》</w:t>
      </w:r>
    </w:p>
    <w:p w14:paraId="61014132">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 xml:space="preserve"> </w:t>
      </w:r>
      <w:r>
        <w:rPr>
          <w:rFonts w:hint="eastAsia" w:ascii="Times New Roman" w:cs="Times New Roman" w:hAnsiTheme="minorEastAsia"/>
          <w:sz w:val="24"/>
          <w:szCs w:val="24"/>
          <w:lang w:eastAsia="zh-CN" w:bidi="ar-SA"/>
        </w:rPr>
        <w:t xml:space="preserve">S&amp;P-XZ-30-2024 《管理体系认证证书和认证标志、认可标识使用规则》 </w:t>
      </w:r>
    </w:p>
    <w:p w14:paraId="75771E43">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 S&amp;P</w:t>
      </w:r>
      <w:r>
        <w:rPr>
          <w:rFonts w:ascii="Times New Roman" w:cs="Times New Roman" w:hAnsiTheme="minorEastAsia"/>
          <w:sz w:val="24"/>
          <w:szCs w:val="24"/>
          <w:lang w:eastAsia="zh-CN" w:bidi="ar-SA"/>
        </w:rPr>
        <w:t>-XZ-</w:t>
      </w:r>
      <w:r>
        <w:rPr>
          <w:rFonts w:hint="eastAsia" w:ascii="Times New Roman" w:cs="Times New Roman" w:hAnsiTheme="minorEastAsia"/>
          <w:sz w:val="24"/>
          <w:szCs w:val="24"/>
          <w:lang w:eastAsia="zh-CN" w:bidi="ar-SA"/>
        </w:rPr>
        <w:t>18</w:t>
      </w:r>
      <w:r>
        <w:rPr>
          <w:rFonts w:ascii="Times New Roman" w:cs="Times New Roman" w:hAnsiTheme="minorEastAsia"/>
          <w:sz w:val="24"/>
          <w:szCs w:val="24"/>
          <w:lang w:eastAsia="zh-CN" w:bidi="ar-SA"/>
        </w:rPr>
        <w:t>-202</w:t>
      </w:r>
      <w:r>
        <w:rPr>
          <w:rFonts w:hint="eastAsia" w:ascii="Times New Roman" w:cs="Times New Roman" w:hAnsiTheme="minorEastAsia"/>
          <w:sz w:val="24"/>
          <w:szCs w:val="24"/>
          <w:lang w:eastAsia="zh-CN" w:bidi="ar-SA"/>
        </w:rPr>
        <w:t>4 《信息通报管理规定》</w:t>
      </w:r>
    </w:p>
    <w:p w14:paraId="3E73CA28">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 S&amp;P</w:t>
      </w:r>
      <w:r>
        <w:rPr>
          <w:rFonts w:ascii="Times New Roman" w:cs="Times New Roman" w:hAnsiTheme="minorEastAsia"/>
          <w:sz w:val="24"/>
          <w:szCs w:val="24"/>
          <w:lang w:eastAsia="zh-CN" w:bidi="ar-SA"/>
        </w:rPr>
        <w:t>-XZ-</w:t>
      </w:r>
      <w:r>
        <w:rPr>
          <w:rFonts w:hint="eastAsia" w:ascii="Times New Roman" w:cs="Times New Roman" w:hAnsiTheme="minorEastAsia"/>
          <w:sz w:val="24"/>
          <w:szCs w:val="24"/>
          <w:lang w:eastAsia="zh-CN" w:bidi="ar-SA"/>
        </w:rPr>
        <w:t>21</w:t>
      </w:r>
      <w:r>
        <w:rPr>
          <w:rFonts w:ascii="Times New Roman" w:cs="Times New Roman" w:hAnsiTheme="minorEastAsia"/>
          <w:sz w:val="24"/>
          <w:szCs w:val="24"/>
          <w:lang w:eastAsia="zh-CN" w:bidi="ar-SA"/>
        </w:rPr>
        <w:t>-202</w:t>
      </w:r>
      <w:r>
        <w:rPr>
          <w:rFonts w:hint="eastAsia" w:ascii="Times New Roman" w:cs="Times New Roman" w:hAnsiTheme="minorEastAsia"/>
          <w:sz w:val="24"/>
          <w:szCs w:val="24"/>
          <w:lang w:eastAsia="zh-CN" w:bidi="ar-SA"/>
        </w:rPr>
        <w:t>4 《认证档案管理规定》</w:t>
      </w:r>
    </w:p>
    <w:p w14:paraId="49218E3E">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w:t>
      </w:r>
      <w:r>
        <w:rPr>
          <w:rFonts w:ascii="Times New Roman" w:cs="Times New Roman" w:hAnsiTheme="minorEastAsia"/>
          <w:sz w:val="24"/>
          <w:szCs w:val="24"/>
          <w:lang w:eastAsia="zh-CN" w:bidi="ar-SA"/>
        </w:rPr>
        <w:t xml:space="preserve"> S&amp;P-XZ-37-2024</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对授予、保持、扩大、更新、缩小、暂停/恢复及撤销认证条件的规定</w:t>
      </w:r>
      <w:r>
        <w:rPr>
          <w:rFonts w:hint="eastAsia" w:ascii="Times New Roman" w:cs="Times New Roman" w:hAnsiTheme="minorEastAsia"/>
          <w:sz w:val="24"/>
          <w:szCs w:val="24"/>
          <w:lang w:eastAsia="zh-CN" w:bidi="ar-SA"/>
        </w:rPr>
        <w:t>》</w:t>
      </w:r>
    </w:p>
    <w:p w14:paraId="6A04F172">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w:t>
      </w:r>
      <w:r>
        <w:rPr>
          <w:rFonts w:ascii="Times New Roman" w:cs="Times New Roman" w:hAnsiTheme="minorEastAsia"/>
          <w:sz w:val="24"/>
          <w:szCs w:val="24"/>
          <w:lang w:eastAsia="zh-CN" w:bidi="ar-SA"/>
        </w:rPr>
        <w:t xml:space="preserve"> S&amp;P公开文件</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认证收费标准</w:t>
      </w:r>
      <w:r>
        <w:rPr>
          <w:rFonts w:hint="eastAsia" w:ascii="Times New Roman" w:cs="Times New Roman" w:hAnsiTheme="minorEastAsia"/>
          <w:sz w:val="24"/>
          <w:szCs w:val="24"/>
          <w:lang w:eastAsia="zh-CN" w:bidi="ar-SA"/>
        </w:rPr>
        <w:t>》</w:t>
      </w:r>
    </w:p>
    <w:p w14:paraId="4F02AEDD">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（11） </w:t>
      </w:r>
      <w:r>
        <w:rPr>
          <w:rFonts w:ascii="Times New Roman" w:cs="Times New Roman" w:hAnsiTheme="minorEastAsia"/>
          <w:sz w:val="24"/>
          <w:szCs w:val="24"/>
          <w:lang w:eastAsia="zh-CN" w:bidi="ar-SA"/>
        </w:rPr>
        <w:t>S&amp;P公开文件</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认证工作程序图</w:t>
      </w: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 xml:space="preserve"> </w:t>
      </w:r>
    </w:p>
    <w:p w14:paraId="6DA2C97B">
      <w:pPr>
        <w:rPr>
          <w:rFonts w:ascii="Times New Roman" w:cs="Times New Roman" w:hAnsiTheme="minorEastAsia"/>
          <w:sz w:val="24"/>
          <w:szCs w:val="24"/>
          <w:lang w:eastAsia="zh-CN" w:bidi="ar-SA"/>
        </w:rPr>
      </w:pPr>
      <w:r>
        <w:rPr>
          <w:rFonts w:ascii="Times New Roman" w:hAnsi="Times New Roman" w:cs="Times New Roman"/>
          <w:sz w:val="24"/>
          <w:szCs w:val="24"/>
          <w:lang w:eastAsia="zh-CN" w:bidi="ar-SA"/>
        </w:rPr>
        <w:t>12.2</w:t>
      </w:r>
      <w:r>
        <w:rPr>
          <w:rFonts w:ascii="Times New Roman" w:cs="Times New Roman" w:hAnsiTheme="minorEastAsia"/>
          <w:sz w:val="24"/>
          <w:szCs w:val="24"/>
          <w:lang w:eastAsia="zh-CN" w:bidi="ar-SA"/>
        </w:rPr>
        <w:t>本规则由</w:t>
      </w:r>
      <w:r>
        <w:rPr>
          <w:rFonts w:ascii="Times New Roman" w:hAnsi="Times New Roman" w:cs="Times New Roman"/>
          <w:sz w:val="24"/>
          <w:szCs w:val="24"/>
          <w:lang w:eastAsia="zh-CN" w:bidi="ar-SA"/>
        </w:rPr>
        <w:t>S&amp;P</w:t>
      </w:r>
      <w:r>
        <w:rPr>
          <w:rFonts w:ascii="Times New Roman" w:cs="Times New Roman" w:hAnsiTheme="minorEastAsia"/>
          <w:sz w:val="24"/>
          <w:szCs w:val="24"/>
          <w:lang w:eastAsia="zh-CN" w:bidi="ar-SA"/>
        </w:rPr>
        <w:t>负责解释。</w:t>
      </w:r>
    </w:p>
    <w:p w14:paraId="74B181F9">
      <w:pPr>
        <w:spacing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br w:type="page"/>
      </w:r>
    </w:p>
    <w:p w14:paraId="38DA9E9C">
      <w:pPr>
        <w:pStyle w:val="2"/>
        <w:rPr>
          <w:lang w:eastAsia="zh-CN" w:bidi="ar-SA"/>
        </w:rPr>
      </w:pPr>
      <w:bookmarkStart w:id="26" w:name="_Toc227243766"/>
      <w:bookmarkStart w:id="27" w:name="_Toc227741589"/>
      <w:r>
        <w:rPr>
          <w:rFonts w:hint="eastAsia"/>
          <w:lang w:eastAsia="zh-CN" w:bidi="ar-SA"/>
        </w:rPr>
        <w:t>附录1  认证业务范围分类</w:t>
      </w:r>
      <w:bookmarkEnd w:id="26"/>
      <w:bookmarkEnd w:id="27"/>
    </w:p>
    <w:p w14:paraId="05F3A156">
      <w:pPr>
        <w:widowControl w:val="0"/>
        <w:autoSpaceDE w:val="0"/>
        <w:autoSpaceDN w:val="0"/>
        <w:adjustRightInd w:val="0"/>
        <w:spacing w:beforeLines="50" w:after="0"/>
        <w:ind w:firstLine="480" w:firstLineChars="200"/>
        <w:rPr>
          <w:sz w:val="36"/>
          <w:szCs w:val="36"/>
          <w:lang w:eastAsia="zh-CN" w:bidi="ar-SA"/>
        </w:rPr>
      </w:pPr>
      <w:r>
        <w:rPr>
          <w:rFonts w:hint="eastAsia"/>
          <w:sz w:val="24"/>
          <w:szCs w:val="24"/>
          <w:lang w:eastAsia="zh-CN" w:bidi="ar-SA"/>
        </w:rPr>
        <w:t>企业诚信管理体系</w:t>
      </w:r>
      <w:r>
        <w:rPr>
          <w:rFonts w:ascii="Times New Roman" w:cs="Times New Roman"/>
          <w:sz w:val="24"/>
          <w:szCs w:val="24"/>
          <w:lang w:eastAsia="zh-CN" w:bidi="ar-SA"/>
        </w:rPr>
        <w:t>（</w:t>
      </w:r>
      <w:r>
        <w:rPr>
          <w:rFonts w:hint="eastAsia" w:ascii="Times New Roman" w:hAnsi="Times New Roman" w:cs="Times New Roman"/>
          <w:sz w:val="24"/>
          <w:szCs w:val="24"/>
          <w:lang w:eastAsia="zh-CN" w:bidi="ar-SA"/>
        </w:rPr>
        <w:t>I</w:t>
      </w:r>
      <w:r>
        <w:rPr>
          <w:rFonts w:ascii="Times New Roman" w:hAnsi="Times New Roman" w:cs="Times New Roman"/>
          <w:sz w:val="24"/>
          <w:szCs w:val="24"/>
          <w:lang w:eastAsia="zh-CN" w:bidi="ar-SA"/>
        </w:rPr>
        <w:t>MS</w:t>
      </w:r>
      <w:r>
        <w:rPr>
          <w:rFonts w:ascii="Times New Roman" w:cs="Times New Roman"/>
          <w:sz w:val="24"/>
          <w:szCs w:val="24"/>
          <w:lang w:eastAsia="zh-CN" w:bidi="ar-SA"/>
        </w:rPr>
        <w:t>）</w:t>
      </w:r>
      <w:r>
        <w:rPr>
          <w:rFonts w:hint="eastAsia"/>
          <w:sz w:val="24"/>
          <w:szCs w:val="24"/>
          <w:lang w:eastAsia="zh-CN" w:bidi="ar-SA"/>
        </w:rPr>
        <w:t>目前不实施管理体系认证业务范围分类。</w:t>
      </w:r>
    </w:p>
    <w:p w14:paraId="1C8C0FAB">
      <w:pPr>
        <w:widowControl w:val="0"/>
        <w:autoSpaceDE w:val="0"/>
        <w:autoSpaceDN w:val="0"/>
        <w:adjustRightInd w:val="0"/>
        <w:spacing w:beforeLines="50" w:after="0"/>
        <w:rPr>
          <w:lang w:eastAsia="zh-CN" w:bidi="ar-SA"/>
        </w:rPr>
      </w:pPr>
    </w:p>
    <w:p w14:paraId="3191136D">
      <w:pPr>
        <w:rPr>
          <w:rFonts w:ascii="Times New Roman" w:cs="Times New Roman" w:hAnsiTheme="minorEastAsia"/>
          <w:sz w:val="24"/>
          <w:szCs w:val="24"/>
          <w:lang w:eastAsia="zh-CN" w:bidi="ar-SA"/>
        </w:rPr>
      </w:pPr>
    </w:p>
    <w:p w14:paraId="1F2CE8B9">
      <w:pPr>
        <w:spacing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br w:type="page"/>
      </w:r>
    </w:p>
    <w:p w14:paraId="0269DFF9">
      <w:pPr>
        <w:pStyle w:val="2"/>
        <w:rPr>
          <w:lang w:eastAsia="zh-CN" w:bidi="ar-SA"/>
        </w:rPr>
      </w:pPr>
      <w:bookmarkStart w:id="28" w:name="_Toc227741590"/>
      <w:r>
        <w:rPr>
          <w:rFonts w:hint="eastAsia"/>
          <w:lang w:eastAsia="zh-CN" w:bidi="ar-SA"/>
        </w:rPr>
        <w:t>附录2 审核时间要求</w:t>
      </w:r>
      <w:bookmarkEnd w:id="28"/>
    </w:p>
    <w:p w14:paraId="4490CB45">
      <w:pPr>
        <w:spacing w:after="120"/>
        <w:jc w:val="center"/>
        <w:rPr>
          <w:rFonts w:ascii="Times New Roman" w:cs="Times New Roman"/>
          <w:b/>
          <w:sz w:val="36"/>
          <w:szCs w:val="36"/>
          <w:lang w:eastAsia="zh-CN" w:bidi="ar-SA"/>
        </w:rPr>
      </w:pPr>
      <w:r>
        <w:rPr>
          <w:rFonts w:hint="eastAsia" w:ascii="Times New Roman" w:cs="Times New Roman"/>
          <w:b/>
          <w:sz w:val="36"/>
          <w:szCs w:val="36"/>
          <w:lang w:eastAsia="zh-CN" w:bidi="ar-SA"/>
        </w:rPr>
        <w:t>审核时间要求</w:t>
      </w:r>
    </w:p>
    <w:tbl>
      <w:tblPr>
        <w:tblStyle w:val="3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80"/>
        <w:gridCol w:w="1680"/>
        <w:gridCol w:w="1680"/>
        <w:gridCol w:w="1680"/>
        <w:gridCol w:w="1681"/>
        <w:gridCol w:w="1681"/>
      </w:tblGrid>
      <w:tr w14:paraId="51BA854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vMerge w:val="restart"/>
            <w:vAlign w:val="center"/>
          </w:tcPr>
          <w:p w14:paraId="6CAD8B96">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有效人数</w:t>
            </w:r>
          </w:p>
        </w:tc>
        <w:tc>
          <w:tcPr>
            <w:tcW w:w="5040" w:type="dxa"/>
            <w:gridSpan w:val="3"/>
          </w:tcPr>
          <w:p w14:paraId="520D5ACB">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初次审核时间（人日）</w:t>
            </w:r>
          </w:p>
        </w:tc>
        <w:tc>
          <w:tcPr>
            <w:tcW w:w="1681" w:type="dxa"/>
            <w:vMerge w:val="restart"/>
            <w:vAlign w:val="center"/>
          </w:tcPr>
          <w:p w14:paraId="10524DBF">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监督审核时间（人日）</w:t>
            </w:r>
          </w:p>
        </w:tc>
        <w:tc>
          <w:tcPr>
            <w:tcW w:w="1681" w:type="dxa"/>
            <w:vMerge w:val="restart"/>
            <w:vAlign w:val="center"/>
          </w:tcPr>
          <w:p w14:paraId="293D46B0">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再认证审核时间（人日）</w:t>
            </w:r>
          </w:p>
        </w:tc>
      </w:tr>
      <w:tr w14:paraId="7137ECB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vMerge w:val="continue"/>
          </w:tcPr>
          <w:p w14:paraId="249152FC">
            <w:pPr>
              <w:spacing w:after="0" w:line="300" w:lineRule="exact"/>
              <w:ind w:firstLine="480" w:firstLineChars="200"/>
              <w:jc w:val="center"/>
              <w:rPr>
                <w:rFonts w:ascii="Times New Roman" w:cs="Times New Roman"/>
                <w:sz w:val="24"/>
                <w:szCs w:val="24"/>
                <w:lang w:eastAsia="zh-CN" w:bidi="ar-SA"/>
              </w:rPr>
            </w:pPr>
          </w:p>
        </w:tc>
        <w:tc>
          <w:tcPr>
            <w:tcW w:w="1680" w:type="dxa"/>
          </w:tcPr>
          <w:p w14:paraId="2C1E9F26">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第一阶段</w:t>
            </w:r>
          </w:p>
        </w:tc>
        <w:tc>
          <w:tcPr>
            <w:tcW w:w="1680" w:type="dxa"/>
          </w:tcPr>
          <w:p w14:paraId="68DBB1B9">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第二阶段</w:t>
            </w:r>
          </w:p>
        </w:tc>
        <w:tc>
          <w:tcPr>
            <w:tcW w:w="1680" w:type="dxa"/>
          </w:tcPr>
          <w:p w14:paraId="0DC822E3">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总人日</w:t>
            </w:r>
          </w:p>
        </w:tc>
        <w:tc>
          <w:tcPr>
            <w:tcW w:w="1681" w:type="dxa"/>
            <w:vMerge w:val="continue"/>
          </w:tcPr>
          <w:p w14:paraId="3C3C2862">
            <w:pPr>
              <w:spacing w:after="0" w:line="300" w:lineRule="exact"/>
              <w:ind w:firstLine="480" w:firstLineChars="200"/>
              <w:jc w:val="center"/>
              <w:rPr>
                <w:rFonts w:ascii="Times New Roman" w:cs="Times New Roman"/>
                <w:sz w:val="24"/>
                <w:szCs w:val="24"/>
                <w:lang w:eastAsia="zh-CN" w:bidi="ar-SA"/>
              </w:rPr>
            </w:pPr>
          </w:p>
        </w:tc>
        <w:tc>
          <w:tcPr>
            <w:tcW w:w="1681" w:type="dxa"/>
            <w:vMerge w:val="continue"/>
          </w:tcPr>
          <w:p w14:paraId="17014438">
            <w:pPr>
              <w:spacing w:after="0" w:line="300" w:lineRule="exact"/>
              <w:ind w:firstLine="480" w:firstLineChars="200"/>
              <w:jc w:val="center"/>
              <w:rPr>
                <w:rFonts w:ascii="Times New Roman" w:cs="Times New Roman"/>
                <w:sz w:val="24"/>
                <w:szCs w:val="24"/>
                <w:lang w:eastAsia="zh-CN" w:bidi="ar-SA"/>
              </w:rPr>
            </w:pPr>
          </w:p>
        </w:tc>
      </w:tr>
      <w:tr w14:paraId="0ECA68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vMerge w:val="continue"/>
          </w:tcPr>
          <w:p w14:paraId="2822F8A0">
            <w:pPr>
              <w:spacing w:after="0" w:line="300" w:lineRule="exact"/>
              <w:ind w:firstLine="480" w:firstLineChars="200"/>
              <w:jc w:val="center"/>
              <w:rPr>
                <w:rFonts w:ascii="Times New Roman" w:cs="Times New Roman"/>
                <w:sz w:val="24"/>
                <w:szCs w:val="24"/>
                <w:lang w:eastAsia="zh-CN" w:bidi="ar-SA"/>
              </w:rPr>
            </w:pPr>
          </w:p>
        </w:tc>
        <w:tc>
          <w:tcPr>
            <w:tcW w:w="1680" w:type="dxa"/>
          </w:tcPr>
          <w:p w14:paraId="21874DDA">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a</w:t>
            </w:r>
          </w:p>
        </w:tc>
        <w:tc>
          <w:tcPr>
            <w:tcW w:w="1680" w:type="dxa"/>
          </w:tcPr>
          <w:p w14:paraId="6641BC51">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b</w:t>
            </w:r>
          </w:p>
        </w:tc>
        <w:tc>
          <w:tcPr>
            <w:tcW w:w="1680" w:type="dxa"/>
          </w:tcPr>
          <w:p w14:paraId="2CA9C64F">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c=a+b</w:t>
            </w:r>
          </w:p>
        </w:tc>
        <w:tc>
          <w:tcPr>
            <w:tcW w:w="1681" w:type="dxa"/>
          </w:tcPr>
          <w:p w14:paraId="241888C4">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d</w:t>
            </w:r>
          </w:p>
        </w:tc>
        <w:tc>
          <w:tcPr>
            <w:tcW w:w="1681" w:type="dxa"/>
          </w:tcPr>
          <w:p w14:paraId="55904941">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e</w:t>
            </w:r>
          </w:p>
        </w:tc>
      </w:tr>
      <w:tr w14:paraId="0DD6B3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612B1046">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≤15</w:t>
            </w:r>
          </w:p>
        </w:tc>
        <w:tc>
          <w:tcPr>
            <w:tcW w:w="1680" w:type="dxa"/>
          </w:tcPr>
          <w:p w14:paraId="4194E96C">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0.5</w:t>
            </w:r>
          </w:p>
        </w:tc>
        <w:tc>
          <w:tcPr>
            <w:tcW w:w="1680" w:type="dxa"/>
          </w:tcPr>
          <w:p w14:paraId="79541DEB">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w:t>
            </w:r>
          </w:p>
        </w:tc>
        <w:tc>
          <w:tcPr>
            <w:tcW w:w="1680" w:type="dxa"/>
            <w:vAlign w:val="bottom"/>
          </w:tcPr>
          <w:p w14:paraId="6B3705BE">
            <w:pPr>
              <w:pStyle w:val="98"/>
              <w:jc w:val="center"/>
              <w:rPr>
                <w:rFonts w:ascii="Times New Roman" w:hAnsi="Times New Roman" w:cs="Times New Roman"/>
                <w:sz w:val="21"/>
                <w:szCs w:val="21"/>
              </w:rPr>
            </w:pPr>
            <w:r>
              <w:rPr>
                <w:rFonts w:hint="eastAsia" w:ascii="Times New Roman" w:hAnsi="Times New Roman" w:cs="Times New Roman"/>
                <w:sz w:val="21"/>
                <w:szCs w:val="21"/>
              </w:rPr>
              <w:t>2.5</w:t>
            </w:r>
          </w:p>
        </w:tc>
        <w:tc>
          <w:tcPr>
            <w:tcW w:w="1681" w:type="dxa"/>
          </w:tcPr>
          <w:p w14:paraId="3A820D87">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1</w:t>
            </w:r>
          </w:p>
        </w:tc>
        <w:tc>
          <w:tcPr>
            <w:tcW w:w="1681" w:type="dxa"/>
          </w:tcPr>
          <w:p w14:paraId="07978F9E">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1.5</w:t>
            </w:r>
          </w:p>
        </w:tc>
      </w:tr>
      <w:tr w14:paraId="59041CF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51F6E61A">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16—25</w:t>
            </w:r>
          </w:p>
        </w:tc>
        <w:tc>
          <w:tcPr>
            <w:tcW w:w="1680" w:type="dxa"/>
          </w:tcPr>
          <w:p w14:paraId="0BB66B20">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680" w:type="dxa"/>
          </w:tcPr>
          <w:p w14:paraId="5E68DB1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w:t>
            </w:r>
          </w:p>
        </w:tc>
        <w:tc>
          <w:tcPr>
            <w:tcW w:w="1680" w:type="dxa"/>
            <w:vAlign w:val="bottom"/>
          </w:tcPr>
          <w:p w14:paraId="7A054A19">
            <w:pPr>
              <w:pStyle w:val="98"/>
              <w:jc w:val="center"/>
              <w:rPr>
                <w:rFonts w:ascii="Times New Roman" w:hAnsi="Times New Roman" w:cs="Times New Roman"/>
                <w:sz w:val="21"/>
                <w:szCs w:val="21"/>
              </w:rPr>
            </w:pPr>
            <w:r>
              <w:rPr>
                <w:rFonts w:ascii="Times New Roman" w:hAnsi="Times New Roman" w:cs="Times New Roman"/>
                <w:sz w:val="21"/>
                <w:szCs w:val="21"/>
              </w:rPr>
              <w:t xml:space="preserve">3 </w:t>
            </w:r>
          </w:p>
        </w:tc>
        <w:tc>
          <w:tcPr>
            <w:tcW w:w="1681" w:type="dxa"/>
          </w:tcPr>
          <w:p w14:paraId="4B730567">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681" w:type="dxa"/>
          </w:tcPr>
          <w:p w14:paraId="4C7238F4">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w:t>
            </w:r>
          </w:p>
        </w:tc>
      </w:tr>
      <w:tr w14:paraId="2CD6309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78090B04">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26—45</w:t>
            </w:r>
          </w:p>
        </w:tc>
        <w:tc>
          <w:tcPr>
            <w:tcW w:w="1680" w:type="dxa"/>
          </w:tcPr>
          <w:p w14:paraId="3D7603A3">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680" w:type="dxa"/>
          </w:tcPr>
          <w:p w14:paraId="46A037A1">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w:t>
            </w:r>
          </w:p>
        </w:tc>
        <w:tc>
          <w:tcPr>
            <w:tcW w:w="1680" w:type="dxa"/>
            <w:vAlign w:val="bottom"/>
          </w:tcPr>
          <w:p w14:paraId="5727338C">
            <w:pPr>
              <w:pStyle w:val="98"/>
              <w:jc w:val="center"/>
              <w:rPr>
                <w:rFonts w:ascii="Times New Roman" w:hAnsi="Times New Roman" w:cs="Times New Roman"/>
                <w:sz w:val="21"/>
                <w:szCs w:val="21"/>
              </w:rPr>
            </w:pPr>
            <w:r>
              <w:rPr>
                <w:rFonts w:hint="eastAsia" w:ascii="Times New Roman" w:hAnsi="Times New Roman" w:cs="Times New Roman"/>
                <w:sz w:val="21"/>
                <w:szCs w:val="21"/>
              </w:rPr>
              <w:t>4</w:t>
            </w:r>
            <w:r>
              <w:rPr>
                <w:rFonts w:ascii="Times New Roman" w:hAnsi="Times New Roman" w:cs="Times New Roman"/>
                <w:sz w:val="21"/>
                <w:szCs w:val="21"/>
              </w:rPr>
              <w:t xml:space="preserve"> </w:t>
            </w:r>
          </w:p>
        </w:tc>
        <w:tc>
          <w:tcPr>
            <w:tcW w:w="1681" w:type="dxa"/>
          </w:tcPr>
          <w:p w14:paraId="3C7C6B7F">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1.5</w:t>
            </w:r>
          </w:p>
        </w:tc>
        <w:tc>
          <w:tcPr>
            <w:tcW w:w="1681" w:type="dxa"/>
          </w:tcPr>
          <w:p w14:paraId="28716FE0">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2.5</w:t>
            </w:r>
          </w:p>
        </w:tc>
      </w:tr>
      <w:tr w14:paraId="33EE8F9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3949B71F">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46—65</w:t>
            </w:r>
          </w:p>
        </w:tc>
        <w:tc>
          <w:tcPr>
            <w:tcW w:w="1680" w:type="dxa"/>
          </w:tcPr>
          <w:p w14:paraId="0C5196C5">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680" w:type="dxa"/>
          </w:tcPr>
          <w:p w14:paraId="012051C8">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w:t>
            </w:r>
          </w:p>
        </w:tc>
        <w:tc>
          <w:tcPr>
            <w:tcW w:w="1680" w:type="dxa"/>
            <w:vAlign w:val="bottom"/>
          </w:tcPr>
          <w:p w14:paraId="3EA2AF71">
            <w:pPr>
              <w:pStyle w:val="98"/>
              <w:jc w:val="center"/>
              <w:rPr>
                <w:rFonts w:ascii="Times New Roman" w:hAnsi="Times New Roman" w:cs="Times New Roman"/>
                <w:sz w:val="21"/>
                <w:szCs w:val="21"/>
              </w:rPr>
            </w:pPr>
            <w:r>
              <w:rPr>
                <w:rFonts w:hint="eastAsia" w:ascii="Times New Roman" w:hAnsi="Times New Roman" w:cs="Times New Roman"/>
                <w:sz w:val="21"/>
                <w:szCs w:val="21"/>
              </w:rPr>
              <w:t>5</w:t>
            </w:r>
          </w:p>
        </w:tc>
        <w:tc>
          <w:tcPr>
            <w:tcW w:w="1681" w:type="dxa"/>
          </w:tcPr>
          <w:p w14:paraId="02BACB1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1.5</w:t>
            </w:r>
          </w:p>
        </w:tc>
        <w:tc>
          <w:tcPr>
            <w:tcW w:w="1681" w:type="dxa"/>
          </w:tcPr>
          <w:p w14:paraId="44E6D00A">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3.5</w:t>
            </w:r>
          </w:p>
        </w:tc>
      </w:tr>
      <w:tr w14:paraId="36E6EDE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2ED35674">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66—85</w:t>
            </w:r>
          </w:p>
        </w:tc>
        <w:tc>
          <w:tcPr>
            <w:tcW w:w="1680" w:type="dxa"/>
          </w:tcPr>
          <w:p w14:paraId="6DE918CD">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1.5</w:t>
            </w:r>
          </w:p>
        </w:tc>
        <w:tc>
          <w:tcPr>
            <w:tcW w:w="1680" w:type="dxa"/>
          </w:tcPr>
          <w:p w14:paraId="7F9AB3B2">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4.5</w:t>
            </w:r>
          </w:p>
        </w:tc>
        <w:tc>
          <w:tcPr>
            <w:tcW w:w="1680" w:type="dxa"/>
            <w:vAlign w:val="bottom"/>
          </w:tcPr>
          <w:p w14:paraId="4C2E1A71">
            <w:pPr>
              <w:pStyle w:val="98"/>
              <w:jc w:val="center"/>
              <w:rPr>
                <w:rFonts w:ascii="Times New Roman" w:hAnsi="Times New Roman" w:cs="Times New Roman"/>
                <w:sz w:val="21"/>
                <w:szCs w:val="21"/>
              </w:rPr>
            </w:pPr>
            <w:r>
              <w:rPr>
                <w:rFonts w:hint="eastAsia" w:ascii="Times New Roman" w:hAnsi="Times New Roman" w:cs="Times New Roman"/>
                <w:sz w:val="21"/>
                <w:szCs w:val="21"/>
              </w:rPr>
              <w:t>6</w:t>
            </w:r>
            <w:r>
              <w:rPr>
                <w:rFonts w:ascii="Times New Roman" w:hAnsi="Times New Roman" w:cs="Times New Roman"/>
                <w:sz w:val="21"/>
                <w:szCs w:val="21"/>
              </w:rPr>
              <w:t xml:space="preserve"> </w:t>
            </w:r>
          </w:p>
        </w:tc>
        <w:tc>
          <w:tcPr>
            <w:tcW w:w="1681" w:type="dxa"/>
          </w:tcPr>
          <w:p w14:paraId="73DCCD01">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w:t>
            </w:r>
          </w:p>
        </w:tc>
        <w:tc>
          <w:tcPr>
            <w:tcW w:w="1681" w:type="dxa"/>
          </w:tcPr>
          <w:p w14:paraId="546ED290">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w:t>
            </w:r>
          </w:p>
        </w:tc>
      </w:tr>
      <w:tr w14:paraId="50C995B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11DC19EC">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86—125</w:t>
            </w:r>
          </w:p>
        </w:tc>
        <w:tc>
          <w:tcPr>
            <w:tcW w:w="1680" w:type="dxa"/>
          </w:tcPr>
          <w:p w14:paraId="3479BF2A">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1.5</w:t>
            </w:r>
          </w:p>
        </w:tc>
        <w:tc>
          <w:tcPr>
            <w:tcW w:w="1680" w:type="dxa"/>
          </w:tcPr>
          <w:p w14:paraId="195B94D4">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5.5</w:t>
            </w:r>
          </w:p>
        </w:tc>
        <w:tc>
          <w:tcPr>
            <w:tcW w:w="1680" w:type="dxa"/>
            <w:vAlign w:val="bottom"/>
          </w:tcPr>
          <w:p w14:paraId="3A0931E3">
            <w:pPr>
              <w:pStyle w:val="98"/>
              <w:jc w:val="center"/>
              <w:rPr>
                <w:rFonts w:ascii="Times New Roman" w:hAnsi="Times New Roman" w:cs="Times New Roman"/>
                <w:sz w:val="21"/>
                <w:szCs w:val="21"/>
              </w:rPr>
            </w:pPr>
            <w:r>
              <w:rPr>
                <w:rFonts w:hint="eastAsia" w:ascii="Times New Roman" w:hAnsi="Times New Roman" w:cs="Times New Roman"/>
                <w:sz w:val="21"/>
                <w:szCs w:val="21"/>
              </w:rPr>
              <w:t>7</w:t>
            </w:r>
            <w:r>
              <w:rPr>
                <w:rFonts w:ascii="Times New Roman" w:hAnsi="Times New Roman" w:cs="Times New Roman"/>
                <w:sz w:val="21"/>
                <w:szCs w:val="21"/>
              </w:rPr>
              <w:t xml:space="preserve"> </w:t>
            </w:r>
          </w:p>
        </w:tc>
        <w:tc>
          <w:tcPr>
            <w:tcW w:w="1681" w:type="dxa"/>
          </w:tcPr>
          <w:p w14:paraId="239E1521">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2.5</w:t>
            </w:r>
          </w:p>
        </w:tc>
        <w:tc>
          <w:tcPr>
            <w:tcW w:w="1681" w:type="dxa"/>
          </w:tcPr>
          <w:p w14:paraId="61F586B2">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4.5</w:t>
            </w:r>
          </w:p>
        </w:tc>
      </w:tr>
      <w:tr w14:paraId="1581A7B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7B580686">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126—175</w:t>
            </w:r>
          </w:p>
        </w:tc>
        <w:tc>
          <w:tcPr>
            <w:tcW w:w="1680" w:type="dxa"/>
          </w:tcPr>
          <w:p w14:paraId="42D4C3C4">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1.5</w:t>
            </w:r>
          </w:p>
        </w:tc>
        <w:tc>
          <w:tcPr>
            <w:tcW w:w="1680" w:type="dxa"/>
          </w:tcPr>
          <w:p w14:paraId="48244586">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6.5</w:t>
            </w:r>
          </w:p>
        </w:tc>
        <w:tc>
          <w:tcPr>
            <w:tcW w:w="1680" w:type="dxa"/>
            <w:vAlign w:val="bottom"/>
          </w:tcPr>
          <w:p w14:paraId="44AAB4DE">
            <w:pPr>
              <w:pStyle w:val="98"/>
              <w:jc w:val="center"/>
              <w:rPr>
                <w:rFonts w:ascii="Times New Roman" w:hAnsi="Times New Roman" w:cs="Times New Roman"/>
                <w:sz w:val="21"/>
                <w:szCs w:val="21"/>
              </w:rPr>
            </w:pPr>
            <w:r>
              <w:rPr>
                <w:rFonts w:hint="eastAsia" w:ascii="Times New Roman" w:hAnsi="Times New Roman" w:cs="Times New Roman"/>
                <w:sz w:val="21"/>
                <w:szCs w:val="21"/>
              </w:rPr>
              <w:t>8</w:t>
            </w:r>
            <w:r>
              <w:rPr>
                <w:rFonts w:ascii="Times New Roman" w:hAnsi="Times New Roman" w:cs="Times New Roman"/>
                <w:sz w:val="21"/>
                <w:szCs w:val="21"/>
              </w:rPr>
              <w:t xml:space="preserve"> </w:t>
            </w:r>
          </w:p>
        </w:tc>
        <w:tc>
          <w:tcPr>
            <w:tcW w:w="1681" w:type="dxa"/>
          </w:tcPr>
          <w:p w14:paraId="08DAE796">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2.5</w:t>
            </w:r>
          </w:p>
        </w:tc>
        <w:tc>
          <w:tcPr>
            <w:tcW w:w="1681" w:type="dxa"/>
          </w:tcPr>
          <w:p w14:paraId="740E796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5.5</w:t>
            </w:r>
          </w:p>
        </w:tc>
      </w:tr>
      <w:tr w14:paraId="22AAA1E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07A4AAD0">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176—275</w:t>
            </w:r>
          </w:p>
        </w:tc>
        <w:tc>
          <w:tcPr>
            <w:tcW w:w="1680" w:type="dxa"/>
          </w:tcPr>
          <w:p w14:paraId="00761F2B">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w:t>
            </w:r>
          </w:p>
        </w:tc>
        <w:tc>
          <w:tcPr>
            <w:tcW w:w="1680" w:type="dxa"/>
          </w:tcPr>
          <w:p w14:paraId="7332D316">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7</w:t>
            </w:r>
          </w:p>
        </w:tc>
        <w:tc>
          <w:tcPr>
            <w:tcW w:w="1680" w:type="dxa"/>
            <w:vAlign w:val="bottom"/>
          </w:tcPr>
          <w:p w14:paraId="4AA6A2EF">
            <w:pPr>
              <w:pStyle w:val="98"/>
              <w:jc w:val="center"/>
              <w:rPr>
                <w:rFonts w:ascii="Times New Roman" w:hAnsi="Times New Roman" w:cs="Times New Roman"/>
                <w:sz w:val="21"/>
                <w:szCs w:val="21"/>
              </w:rPr>
            </w:pPr>
            <w:r>
              <w:rPr>
                <w:rFonts w:hint="eastAsia" w:ascii="Times New Roman" w:hAnsi="Times New Roman" w:cs="Times New Roman"/>
                <w:sz w:val="21"/>
                <w:szCs w:val="21"/>
              </w:rPr>
              <w:t>9</w:t>
            </w:r>
            <w:r>
              <w:rPr>
                <w:rFonts w:ascii="Times New Roman" w:hAnsi="Times New Roman" w:cs="Times New Roman"/>
                <w:sz w:val="21"/>
                <w:szCs w:val="21"/>
              </w:rPr>
              <w:t xml:space="preserve"> </w:t>
            </w:r>
          </w:p>
        </w:tc>
        <w:tc>
          <w:tcPr>
            <w:tcW w:w="1681" w:type="dxa"/>
          </w:tcPr>
          <w:p w14:paraId="2FECACBB">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w:t>
            </w:r>
          </w:p>
        </w:tc>
        <w:tc>
          <w:tcPr>
            <w:tcW w:w="1681" w:type="dxa"/>
          </w:tcPr>
          <w:p w14:paraId="4D6375BE">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w:t>
            </w:r>
          </w:p>
        </w:tc>
      </w:tr>
      <w:tr w14:paraId="7316EEB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279F48B5">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276—425</w:t>
            </w:r>
          </w:p>
        </w:tc>
        <w:tc>
          <w:tcPr>
            <w:tcW w:w="1680" w:type="dxa"/>
          </w:tcPr>
          <w:p w14:paraId="012854BD">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w:t>
            </w:r>
          </w:p>
        </w:tc>
        <w:tc>
          <w:tcPr>
            <w:tcW w:w="1680" w:type="dxa"/>
          </w:tcPr>
          <w:p w14:paraId="3E5FBC3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8</w:t>
            </w:r>
          </w:p>
        </w:tc>
        <w:tc>
          <w:tcPr>
            <w:tcW w:w="1680" w:type="dxa"/>
            <w:vAlign w:val="bottom"/>
          </w:tcPr>
          <w:p w14:paraId="29483A5E">
            <w:pPr>
              <w:pStyle w:val="98"/>
              <w:jc w:val="center"/>
              <w:rPr>
                <w:rFonts w:ascii="Times New Roman" w:hAnsi="Times New Roman" w:cs="Times New Roman"/>
                <w:sz w:val="21"/>
                <w:szCs w:val="21"/>
              </w:rPr>
            </w:pPr>
            <w:r>
              <w:rPr>
                <w:rFonts w:hint="eastAsia" w:ascii="Times New Roman" w:hAnsi="Times New Roman" w:cs="Times New Roman"/>
                <w:sz w:val="21"/>
                <w:szCs w:val="21"/>
              </w:rPr>
              <w:t>10</w:t>
            </w:r>
            <w:r>
              <w:rPr>
                <w:rFonts w:ascii="Times New Roman" w:hAnsi="Times New Roman" w:cs="Times New Roman"/>
                <w:sz w:val="21"/>
                <w:szCs w:val="21"/>
              </w:rPr>
              <w:t xml:space="preserve"> </w:t>
            </w:r>
          </w:p>
        </w:tc>
        <w:tc>
          <w:tcPr>
            <w:tcW w:w="1681" w:type="dxa"/>
          </w:tcPr>
          <w:p w14:paraId="087FC703">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3.5</w:t>
            </w:r>
          </w:p>
        </w:tc>
        <w:tc>
          <w:tcPr>
            <w:tcW w:w="1681" w:type="dxa"/>
          </w:tcPr>
          <w:p w14:paraId="3233FA52">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6.5</w:t>
            </w:r>
          </w:p>
        </w:tc>
      </w:tr>
      <w:tr w14:paraId="677263F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61EBAB97">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426—625</w:t>
            </w:r>
          </w:p>
        </w:tc>
        <w:tc>
          <w:tcPr>
            <w:tcW w:w="1680" w:type="dxa"/>
          </w:tcPr>
          <w:p w14:paraId="36BAE21F">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w:t>
            </w:r>
          </w:p>
        </w:tc>
        <w:tc>
          <w:tcPr>
            <w:tcW w:w="1680" w:type="dxa"/>
          </w:tcPr>
          <w:p w14:paraId="3DED1FBD">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9</w:t>
            </w:r>
          </w:p>
        </w:tc>
        <w:tc>
          <w:tcPr>
            <w:tcW w:w="1680" w:type="dxa"/>
            <w:vAlign w:val="bottom"/>
          </w:tcPr>
          <w:p w14:paraId="40BC568D">
            <w:pPr>
              <w:pStyle w:val="98"/>
              <w:jc w:val="center"/>
              <w:rPr>
                <w:rFonts w:ascii="Times New Roman" w:hAnsi="Times New Roman" w:cs="Times New Roman"/>
                <w:sz w:val="21"/>
                <w:szCs w:val="21"/>
              </w:rPr>
            </w:pPr>
            <w:r>
              <w:rPr>
                <w:rFonts w:hint="eastAsia" w:ascii="Times New Roman" w:hAnsi="Times New Roman" w:cs="Times New Roman"/>
                <w:sz w:val="21"/>
                <w:szCs w:val="21"/>
              </w:rPr>
              <w:t>11</w:t>
            </w:r>
            <w:r>
              <w:rPr>
                <w:rFonts w:ascii="Times New Roman" w:hAnsi="Times New Roman" w:cs="Times New Roman"/>
                <w:sz w:val="21"/>
                <w:szCs w:val="21"/>
              </w:rPr>
              <w:t xml:space="preserve"> </w:t>
            </w:r>
          </w:p>
        </w:tc>
        <w:tc>
          <w:tcPr>
            <w:tcW w:w="1681" w:type="dxa"/>
          </w:tcPr>
          <w:p w14:paraId="4FA0CC7D">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3.5</w:t>
            </w:r>
          </w:p>
        </w:tc>
        <w:tc>
          <w:tcPr>
            <w:tcW w:w="1681" w:type="dxa"/>
          </w:tcPr>
          <w:p w14:paraId="794FF821">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7.5</w:t>
            </w:r>
          </w:p>
        </w:tc>
      </w:tr>
      <w:tr w14:paraId="17DBA2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30472A5D">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626—875</w:t>
            </w:r>
          </w:p>
        </w:tc>
        <w:tc>
          <w:tcPr>
            <w:tcW w:w="1680" w:type="dxa"/>
          </w:tcPr>
          <w:p w14:paraId="1F38F786">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2.5</w:t>
            </w:r>
          </w:p>
        </w:tc>
        <w:tc>
          <w:tcPr>
            <w:tcW w:w="1680" w:type="dxa"/>
          </w:tcPr>
          <w:p w14:paraId="006EF22A">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9.5</w:t>
            </w:r>
          </w:p>
        </w:tc>
        <w:tc>
          <w:tcPr>
            <w:tcW w:w="1680" w:type="dxa"/>
            <w:vAlign w:val="bottom"/>
          </w:tcPr>
          <w:p w14:paraId="41BF8B67">
            <w:pPr>
              <w:pStyle w:val="98"/>
              <w:jc w:val="center"/>
              <w:rPr>
                <w:rFonts w:ascii="Times New Roman" w:hAnsi="Times New Roman" w:cs="Times New Roman"/>
                <w:sz w:val="21"/>
                <w:szCs w:val="21"/>
              </w:rPr>
            </w:pPr>
            <w:r>
              <w:rPr>
                <w:rFonts w:hint="eastAsia" w:ascii="Times New Roman" w:hAnsi="Times New Roman" w:cs="Times New Roman"/>
                <w:sz w:val="21"/>
                <w:szCs w:val="21"/>
              </w:rPr>
              <w:t>12</w:t>
            </w:r>
          </w:p>
        </w:tc>
        <w:tc>
          <w:tcPr>
            <w:tcW w:w="1681" w:type="dxa"/>
          </w:tcPr>
          <w:p w14:paraId="0B05B0C7">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w:t>
            </w:r>
          </w:p>
        </w:tc>
        <w:tc>
          <w:tcPr>
            <w:tcW w:w="1681" w:type="dxa"/>
          </w:tcPr>
          <w:p w14:paraId="76336626">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8</w:t>
            </w:r>
          </w:p>
        </w:tc>
      </w:tr>
      <w:tr w14:paraId="1AF8CC2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5679F108">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876—1175</w:t>
            </w:r>
          </w:p>
        </w:tc>
        <w:tc>
          <w:tcPr>
            <w:tcW w:w="1680" w:type="dxa"/>
          </w:tcPr>
          <w:p w14:paraId="2CBEF275">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2.5</w:t>
            </w:r>
          </w:p>
        </w:tc>
        <w:tc>
          <w:tcPr>
            <w:tcW w:w="1680" w:type="dxa"/>
          </w:tcPr>
          <w:p w14:paraId="7DA424EC">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10.5</w:t>
            </w:r>
          </w:p>
        </w:tc>
        <w:tc>
          <w:tcPr>
            <w:tcW w:w="1680" w:type="dxa"/>
            <w:vAlign w:val="bottom"/>
          </w:tcPr>
          <w:p w14:paraId="0F398B3A">
            <w:pPr>
              <w:pStyle w:val="98"/>
              <w:jc w:val="center"/>
              <w:rPr>
                <w:rFonts w:ascii="Times New Roman" w:hAnsi="Times New Roman" w:cs="Times New Roman"/>
                <w:sz w:val="21"/>
                <w:szCs w:val="21"/>
              </w:rPr>
            </w:pPr>
            <w:r>
              <w:rPr>
                <w:rFonts w:hint="eastAsia" w:ascii="Times New Roman" w:hAnsi="Times New Roman" w:cs="Times New Roman"/>
                <w:sz w:val="21"/>
                <w:szCs w:val="21"/>
              </w:rPr>
              <w:t>13</w:t>
            </w:r>
            <w:r>
              <w:rPr>
                <w:rFonts w:ascii="Times New Roman" w:hAnsi="Times New Roman" w:cs="Times New Roman"/>
                <w:sz w:val="21"/>
                <w:szCs w:val="21"/>
              </w:rPr>
              <w:t xml:space="preserve"> </w:t>
            </w:r>
          </w:p>
        </w:tc>
        <w:tc>
          <w:tcPr>
            <w:tcW w:w="1681" w:type="dxa"/>
          </w:tcPr>
          <w:p w14:paraId="046131FB">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4.5</w:t>
            </w:r>
          </w:p>
        </w:tc>
        <w:tc>
          <w:tcPr>
            <w:tcW w:w="1681" w:type="dxa"/>
          </w:tcPr>
          <w:p w14:paraId="703D4F17">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8.5</w:t>
            </w:r>
          </w:p>
        </w:tc>
      </w:tr>
      <w:tr w14:paraId="41A6006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600DFB64">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1176—1550</w:t>
            </w:r>
          </w:p>
        </w:tc>
        <w:tc>
          <w:tcPr>
            <w:tcW w:w="1680" w:type="dxa"/>
          </w:tcPr>
          <w:p w14:paraId="4B4059EF">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w:t>
            </w:r>
          </w:p>
        </w:tc>
        <w:tc>
          <w:tcPr>
            <w:tcW w:w="1680" w:type="dxa"/>
          </w:tcPr>
          <w:p w14:paraId="6F80BCCB">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11</w:t>
            </w:r>
          </w:p>
        </w:tc>
        <w:tc>
          <w:tcPr>
            <w:tcW w:w="1680" w:type="dxa"/>
            <w:vAlign w:val="bottom"/>
          </w:tcPr>
          <w:p w14:paraId="07A8713B">
            <w:pPr>
              <w:pStyle w:val="98"/>
              <w:jc w:val="center"/>
              <w:rPr>
                <w:rFonts w:ascii="Times New Roman" w:hAnsi="Times New Roman" w:cs="Times New Roman"/>
                <w:sz w:val="21"/>
                <w:szCs w:val="21"/>
              </w:rPr>
            </w:pPr>
            <w:r>
              <w:rPr>
                <w:rFonts w:hint="eastAsia" w:ascii="Times New Roman" w:hAnsi="Times New Roman" w:cs="Times New Roman"/>
                <w:sz w:val="21"/>
                <w:szCs w:val="21"/>
              </w:rPr>
              <w:t>14</w:t>
            </w:r>
          </w:p>
        </w:tc>
        <w:tc>
          <w:tcPr>
            <w:tcW w:w="1681" w:type="dxa"/>
          </w:tcPr>
          <w:p w14:paraId="45312183">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4.5</w:t>
            </w:r>
          </w:p>
        </w:tc>
        <w:tc>
          <w:tcPr>
            <w:tcW w:w="1681" w:type="dxa"/>
          </w:tcPr>
          <w:p w14:paraId="452EB414">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9.5</w:t>
            </w:r>
          </w:p>
        </w:tc>
      </w:tr>
      <w:tr w14:paraId="70365A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5C4FEAC1">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1551—2025</w:t>
            </w:r>
          </w:p>
        </w:tc>
        <w:tc>
          <w:tcPr>
            <w:tcW w:w="1680" w:type="dxa"/>
          </w:tcPr>
          <w:p w14:paraId="40D3486E">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w:t>
            </w:r>
          </w:p>
        </w:tc>
        <w:tc>
          <w:tcPr>
            <w:tcW w:w="1680" w:type="dxa"/>
          </w:tcPr>
          <w:p w14:paraId="7CF4E84F">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12</w:t>
            </w:r>
          </w:p>
        </w:tc>
        <w:tc>
          <w:tcPr>
            <w:tcW w:w="1680" w:type="dxa"/>
            <w:vAlign w:val="bottom"/>
          </w:tcPr>
          <w:p w14:paraId="66611D5F">
            <w:pPr>
              <w:pStyle w:val="98"/>
              <w:jc w:val="center"/>
              <w:rPr>
                <w:rFonts w:ascii="Times New Roman" w:hAnsi="Times New Roman" w:cs="Times New Roman"/>
                <w:sz w:val="21"/>
                <w:szCs w:val="21"/>
              </w:rPr>
            </w:pPr>
            <w:r>
              <w:rPr>
                <w:rFonts w:hint="eastAsia" w:ascii="Times New Roman" w:hAnsi="Times New Roman" w:cs="Times New Roman"/>
                <w:sz w:val="21"/>
                <w:szCs w:val="21"/>
              </w:rPr>
              <w:t>15</w:t>
            </w:r>
            <w:r>
              <w:rPr>
                <w:rFonts w:ascii="Times New Roman" w:hAnsi="Times New Roman" w:cs="Times New Roman"/>
                <w:sz w:val="21"/>
                <w:szCs w:val="21"/>
              </w:rPr>
              <w:t xml:space="preserve"> </w:t>
            </w:r>
          </w:p>
        </w:tc>
        <w:tc>
          <w:tcPr>
            <w:tcW w:w="1681" w:type="dxa"/>
          </w:tcPr>
          <w:p w14:paraId="76090AF7">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5</w:t>
            </w:r>
          </w:p>
        </w:tc>
        <w:tc>
          <w:tcPr>
            <w:tcW w:w="1681" w:type="dxa"/>
          </w:tcPr>
          <w:p w14:paraId="3A8B1433">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10</w:t>
            </w:r>
          </w:p>
        </w:tc>
      </w:tr>
      <w:tr w14:paraId="00506A0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07B72358">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2026—2675</w:t>
            </w:r>
          </w:p>
        </w:tc>
        <w:tc>
          <w:tcPr>
            <w:tcW w:w="1680" w:type="dxa"/>
          </w:tcPr>
          <w:p w14:paraId="6B0944D2">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w:t>
            </w:r>
          </w:p>
        </w:tc>
        <w:tc>
          <w:tcPr>
            <w:tcW w:w="1680" w:type="dxa"/>
          </w:tcPr>
          <w:p w14:paraId="6D8E97B2">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13</w:t>
            </w:r>
          </w:p>
        </w:tc>
        <w:tc>
          <w:tcPr>
            <w:tcW w:w="1680" w:type="dxa"/>
            <w:vAlign w:val="bottom"/>
          </w:tcPr>
          <w:p w14:paraId="66D61EB3">
            <w:pPr>
              <w:pStyle w:val="98"/>
              <w:jc w:val="center"/>
              <w:rPr>
                <w:rFonts w:ascii="Times New Roman" w:hAnsi="Times New Roman" w:cs="Times New Roman"/>
                <w:sz w:val="21"/>
                <w:szCs w:val="21"/>
              </w:rPr>
            </w:pPr>
            <w:r>
              <w:rPr>
                <w:rFonts w:hint="eastAsia" w:ascii="Times New Roman" w:hAnsi="Times New Roman" w:cs="Times New Roman"/>
                <w:sz w:val="21"/>
                <w:szCs w:val="21"/>
              </w:rPr>
              <w:t>16</w:t>
            </w:r>
            <w:r>
              <w:rPr>
                <w:rFonts w:ascii="Times New Roman" w:hAnsi="Times New Roman" w:cs="Times New Roman"/>
                <w:sz w:val="21"/>
                <w:szCs w:val="21"/>
              </w:rPr>
              <w:t xml:space="preserve"> </w:t>
            </w:r>
          </w:p>
        </w:tc>
        <w:tc>
          <w:tcPr>
            <w:tcW w:w="1681" w:type="dxa"/>
          </w:tcPr>
          <w:p w14:paraId="4F6E109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5.5</w:t>
            </w:r>
          </w:p>
        </w:tc>
        <w:tc>
          <w:tcPr>
            <w:tcW w:w="1681" w:type="dxa"/>
          </w:tcPr>
          <w:p w14:paraId="517E54E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10.5</w:t>
            </w:r>
          </w:p>
        </w:tc>
      </w:tr>
      <w:tr w14:paraId="4A7F06D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743496E3">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2676—3450</w:t>
            </w:r>
          </w:p>
        </w:tc>
        <w:tc>
          <w:tcPr>
            <w:tcW w:w="1680" w:type="dxa"/>
          </w:tcPr>
          <w:p w14:paraId="77458C8D">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3.5</w:t>
            </w:r>
          </w:p>
        </w:tc>
        <w:tc>
          <w:tcPr>
            <w:tcW w:w="1680" w:type="dxa"/>
          </w:tcPr>
          <w:p w14:paraId="57430BB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13.5</w:t>
            </w:r>
          </w:p>
        </w:tc>
        <w:tc>
          <w:tcPr>
            <w:tcW w:w="1680" w:type="dxa"/>
            <w:vAlign w:val="bottom"/>
          </w:tcPr>
          <w:p w14:paraId="350C8221">
            <w:pPr>
              <w:pStyle w:val="98"/>
              <w:jc w:val="center"/>
              <w:rPr>
                <w:rFonts w:ascii="Times New Roman" w:hAnsi="Times New Roman" w:cs="Times New Roman"/>
                <w:sz w:val="21"/>
                <w:szCs w:val="21"/>
              </w:rPr>
            </w:pPr>
            <w:r>
              <w:rPr>
                <w:rFonts w:hint="eastAsia" w:ascii="Times New Roman" w:hAnsi="Times New Roman" w:cs="Times New Roman"/>
                <w:sz w:val="21"/>
                <w:szCs w:val="21"/>
              </w:rPr>
              <w:t>17</w:t>
            </w:r>
          </w:p>
        </w:tc>
        <w:tc>
          <w:tcPr>
            <w:tcW w:w="1681" w:type="dxa"/>
          </w:tcPr>
          <w:p w14:paraId="08CED4B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5.5</w:t>
            </w:r>
          </w:p>
        </w:tc>
        <w:tc>
          <w:tcPr>
            <w:tcW w:w="1681" w:type="dxa"/>
          </w:tcPr>
          <w:p w14:paraId="6C0DE507">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11.5</w:t>
            </w:r>
          </w:p>
        </w:tc>
      </w:tr>
      <w:tr w14:paraId="79EF629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7C8B7FAA">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3451—4350</w:t>
            </w:r>
          </w:p>
        </w:tc>
        <w:tc>
          <w:tcPr>
            <w:tcW w:w="1680" w:type="dxa"/>
          </w:tcPr>
          <w:p w14:paraId="7B8C0C73">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3.5</w:t>
            </w:r>
          </w:p>
        </w:tc>
        <w:tc>
          <w:tcPr>
            <w:tcW w:w="1680" w:type="dxa"/>
          </w:tcPr>
          <w:p w14:paraId="00B90A98">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14.5</w:t>
            </w:r>
          </w:p>
        </w:tc>
        <w:tc>
          <w:tcPr>
            <w:tcW w:w="1680" w:type="dxa"/>
            <w:vAlign w:val="bottom"/>
          </w:tcPr>
          <w:p w14:paraId="70B2E464">
            <w:pPr>
              <w:pStyle w:val="98"/>
              <w:jc w:val="center"/>
              <w:rPr>
                <w:rFonts w:ascii="Times New Roman" w:hAnsi="Times New Roman" w:cs="Times New Roman"/>
                <w:sz w:val="21"/>
                <w:szCs w:val="21"/>
              </w:rPr>
            </w:pPr>
            <w:r>
              <w:rPr>
                <w:rFonts w:hint="eastAsia" w:ascii="Times New Roman" w:hAnsi="Times New Roman" w:cs="Times New Roman"/>
                <w:sz w:val="21"/>
                <w:szCs w:val="21"/>
              </w:rPr>
              <w:t>18</w:t>
            </w:r>
            <w:r>
              <w:rPr>
                <w:rFonts w:ascii="Times New Roman" w:hAnsi="Times New Roman" w:cs="Times New Roman"/>
                <w:sz w:val="21"/>
                <w:szCs w:val="21"/>
              </w:rPr>
              <w:t xml:space="preserve"> </w:t>
            </w:r>
          </w:p>
        </w:tc>
        <w:tc>
          <w:tcPr>
            <w:tcW w:w="1681" w:type="dxa"/>
          </w:tcPr>
          <w:p w14:paraId="325B4F6D">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w:t>
            </w:r>
          </w:p>
        </w:tc>
        <w:tc>
          <w:tcPr>
            <w:tcW w:w="1681" w:type="dxa"/>
          </w:tcPr>
          <w:p w14:paraId="0225626D">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12</w:t>
            </w:r>
          </w:p>
        </w:tc>
      </w:tr>
      <w:tr w14:paraId="7C2D389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5726701F">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4351—5450</w:t>
            </w:r>
          </w:p>
        </w:tc>
        <w:tc>
          <w:tcPr>
            <w:tcW w:w="1680" w:type="dxa"/>
          </w:tcPr>
          <w:p w14:paraId="46EDE012">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w:t>
            </w:r>
          </w:p>
        </w:tc>
        <w:tc>
          <w:tcPr>
            <w:tcW w:w="1680" w:type="dxa"/>
          </w:tcPr>
          <w:p w14:paraId="4679EFBD">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15</w:t>
            </w:r>
          </w:p>
        </w:tc>
        <w:tc>
          <w:tcPr>
            <w:tcW w:w="1680" w:type="dxa"/>
            <w:vAlign w:val="bottom"/>
          </w:tcPr>
          <w:p w14:paraId="470EC234">
            <w:pPr>
              <w:pStyle w:val="98"/>
              <w:jc w:val="center"/>
              <w:rPr>
                <w:rFonts w:ascii="Times New Roman" w:hAnsi="Times New Roman" w:cs="Times New Roman"/>
                <w:sz w:val="21"/>
                <w:szCs w:val="21"/>
              </w:rPr>
            </w:pPr>
            <w:r>
              <w:rPr>
                <w:rFonts w:hint="eastAsia" w:ascii="Times New Roman" w:hAnsi="Times New Roman" w:cs="Times New Roman"/>
                <w:sz w:val="21"/>
                <w:szCs w:val="21"/>
              </w:rPr>
              <w:t>19</w:t>
            </w:r>
          </w:p>
        </w:tc>
        <w:tc>
          <w:tcPr>
            <w:tcW w:w="1681" w:type="dxa"/>
          </w:tcPr>
          <w:p w14:paraId="3CE8B938">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6.5</w:t>
            </w:r>
          </w:p>
        </w:tc>
        <w:tc>
          <w:tcPr>
            <w:tcW w:w="1681" w:type="dxa"/>
          </w:tcPr>
          <w:p w14:paraId="00C32AE2">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12.5</w:t>
            </w:r>
          </w:p>
        </w:tc>
      </w:tr>
      <w:tr w14:paraId="3A20DF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45FD112B">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5451—6800</w:t>
            </w:r>
          </w:p>
        </w:tc>
        <w:tc>
          <w:tcPr>
            <w:tcW w:w="1680" w:type="dxa"/>
          </w:tcPr>
          <w:p w14:paraId="73FE8408">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w:t>
            </w:r>
          </w:p>
        </w:tc>
        <w:tc>
          <w:tcPr>
            <w:tcW w:w="1680" w:type="dxa"/>
          </w:tcPr>
          <w:p w14:paraId="6C180FEE">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16</w:t>
            </w:r>
          </w:p>
        </w:tc>
        <w:tc>
          <w:tcPr>
            <w:tcW w:w="1680" w:type="dxa"/>
            <w:vAlign w:val="bottom"/>
          </w:tcPr>
          <w:p w14:paraId="59F65E27">
            <w:pPr>
              <w:pStyle w:val="98"/>
              <w:jc w:val="center"/>
              <w:rPr>
                <w:rFonts w:ascii="Times New Roman" w:hAnsi="Times New Roman" w:cs="Times New Roman"/>
                <w:sz w:val="21"/>
                <w:szCs w:val="21"/>
              </w:rPr>
            </w:pPr>
            <w:r>
              <w:rPr>
                <w:rFonts w:hint="eastAsia" w:ascii="Times New Roman" w:hAnsi="Times New Roman" w:cs="Times New Roman"/>
                <w:sz w:val="21"/>
                <w:szCs w:val="21"/>
              </w:rPr>
              <w:t>20</w:t>
            </w:r>
            <w:r>
              <w:rPr>
                <w:rFonts w:ascii="Times New Roman" w:hAnsi="Times New Roman" w:cs="Times New Roman"/>
                <w:sz w:val="21"/>
                <w:szCs w:val="21"/>
              </w:rPr>
              <w:t xml:space="preserve"> </w:t>
            </w:r>
          </w:p>
        </w:tc>
        <w:tc>
          <w:tcPr>
            <w:tcW w:w="1681" w:type="dxa"/>
          </w:tcPr>
          <w:p w14:paraId="3B60D855">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6.5</w:t>
            </w:r>
          </w:p>
        </w:tc>
        <w:tc>
          <w:tcPr>
            <w:tcW w:w="1681" w:type="dxa"/>
          </w:tcPr>
          <w:p w14:paraId="1818463B">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13.5</w:t>
            </w:r>
          </w:p>
        </w:tc>
      </w:tr>
      <w:tr w14:paraId="5FE6988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3D596CD5">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6801—8500</w:t>
            </w:r>
          </w:p>
        </w:tc>
        <w:tc>
          <w:tcPr>
            <w:tcW w:w="1680" w:type="dxa"/>
          </w:tcPr>
          <w:p w14:paraId="17A5F308">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w:t>
            </w:r>
          </w:p>
        </w:tc>
        <w:tc>
          <w:tcPr>
            <w:tcW w:w="1680" w:type="dxa"/>
          </w:tcPr>
          <w:p w14:paraId="61E2A66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17</w:t>
            </w:r>
          </w:p>
        </w:tc>
        <w:tc>
          <w:tcPr>
            <w:tcW w:w="1680" w:type="dxa"/>
            <w:vAlign w:val="bottom"/>
          </w:tcPr>
          <w:p w14:paraId="73742A5F">
            <w:pPr>
              <w:pStyle w:val="98"/>
              <w:jc w:val="center"/>
              <w:rPr>
                <w:rFonts w:ascii="Times New Roman" w:hAnsi="Times New Roman" w:cs="Times New Roman"/>
                <w:sz w:val="21"/>
                <w:szCs w:val="21"/>
              </w:rPr>
            </w:pPr>
            <w:r>
              <w:rPr>
                <w:rFonts w:hint="eastAsia" w:ascii="Times New Roman" w:hAnsi="Times New Roman" w:cs="Times New Roman"/>
                <w:sz w:val="21"/>
                <w:szCs w:val="21"/>
              </w:rPr>
              <w:t>21</w:t>
            </w:r>
            <w:r>
              <w:rPr>
                <w:rFonts w:ascii="Times New Roman" w:hAnsi="Times New Roman" w:cs="Times New Roman"/>
                <w:sz w:val="21"/>
                <w:szCs w:val="21"/>
              </w:rPr>
              <w:t xml:space="preserve"> </w:t>
            </w:r>
          </w:p>
        </w:tc>
        <w:tc>
          <w:tcPr>
            <w:tcW w:w="1681" w:type="dxa"/>
          </w:tcPr>
          <w:p w14:paraId="28E132ED">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7</w:t>
            </w:r>
          </w:p>
        </w:tc>
        <w:tc>
          <w:tcPr>
            <w:tcW w:w="1681" w:type="dxa"/>
          </w:tcPr>
          <w:p w14:paraId="2563066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14</w:t>
            </w:r>
          </w:p>
        </w:tc>
      </w:tr>
      <w:tr w14:paraId="05BEBB5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6C908908">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8501—10700</w:t>
            </w:r>
          </w:p>
        </w:tc>
        <w:tc>
          <w:tcPr>
            <w:tcW w:w="1680" w:type="dxa"/>
          </w:tcPr>
          <w:p w14:paraId="5435BC86">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4.5</w:t>
            </w:r>
          </w:p>
        </w:tc>
        <w:tc>
          <w:tcPr>
            <w:tcW w:w="1680" w:type="dxa"/>
          </w:tcPr>
          <w:p w14:paraId="4B3172D5">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17.5</w:t>
            </w:r>
          </w:p>
        </w:tc>
        <w:tc>
          <w:tcPr>
            <w:tcW w:w="1680" w:type="dxa"/>
            <w:vAlign w:val="bottom"/>
          </w:tcPr>
          <w:p w14:paraId="6287D3F8">
            <w:pPr>
              <w:pStyle w:val="98"/>
              <w:jc w:val="center"/>
              <w:rPr>
                <w:rFonts w:ascii="Times New Roman" w:hAnsi="Times New Roman" w:cs="Times New Roman"/>
                <w:sz w:val="21"/>
                <w:szCs w:val="21"/>
              </w:rPr>
            </w:pPr>
            <w:r>
              <w:rPr>
                <w:rFonts w:hint="eastAsia" w:ascii="Times New Roman" w:hAnsi="Times New Roman" w:cs="Times New Roman"/>
                <w:sz w:val="21"/>
                <w:szCs w:val="21"/>
              </w:rPr>
              <w:t>22</w:t>
            </w:r>
            <w:r>
              <w:rPr>
                <w:rFonts w:ascii="Times New Roman" w:hAnsi="Times New Roman" w:cs="Times New Roman"/>
                <w:sz w:val="21"/>
                <w:szCs w:val="21"/>
              </w:rPr>
              <w:t xml:space="preserve"> </w:t>
            </w:r>
          </w:p>
        </w:tc>
        <w:tc>
          <w:tcPr>
            <w:tcW w:w="1681" w:type="dxa"/>
          </w:tcPr>
          <w:p w14:paraId="48C3D0AE">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7.5</w:t>
            </w:r>
          </w:p>
        </w:tc>
        <w:tc>
          <w:tcPr>
            <w:tcW w:w="1681" w:type="dxa"/>
          </w:tcPr>
          <w:p w14:paraId="534AE046">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14.5</w:t>
            </w:r>
          </w:p>
        </w:tc>
      </w:tr>
      <w:tr w14:paraId="65CEC45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80" w:type="dxa"/>
          </w:tcPr>
          <w:p w14:paraId="08077B16">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&gt;10700</w:t>
            </w:r>
          </w:p>
        </w:tc>
        <w:tc>
          <w:tcPr>
            <w:tcW w:w="8402" w:type="dxa"/>
            <w:gridSpan w:val="5"/>
          </w:tcPr>
          <w:p w14:paraId="06D5D40C">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遵循上述递进规律</w:t>
            </w:r>
          </w:p>
        </w:tc>
      </w:tr>
    </w:tbl>
    <w:p w14:paraId="18D1D937">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注：有效人数包括认证范围内涉及的所有全职人员，原则上以组织的社会保险登记证所附名册等信息为准。对非固定人员（包括季节性人员、临时人员和分包商人员）和兼职人员的有效人数核定，可根据其实际工作小时数予以适当减少或换算成等效的全职人员数。</w:t>
      </w:r>
      <w:r>
        <w:rPr>
          <w:rFonts w:ascii="Times New Roman" w:cs="Times New Roman" w:hAnsiTheme="minorEastAsia"/>
          <w:sz w:val="24"/>
          <w:szCs w:val="24"/>
          <w:lang w:eastAsia="zh-CN" w:bidi="ar-SA"/>
        </w:rPr>
        <w:t xml:space="preserve"> </w:t>
      </w:r>
    </w:p>
    <w:p w14:paraId="213FF6AE">
      <w:pPr>
        <w:spacing w:after="0"/>
        <w:rPr>
          <w:rFonts w:ascii="Times New Roman" w:cs="Times New Roman" w:hAnsiTheme="minorEastAsia"/>
          <w:sz w:val="24"/>
          <w:szCs w:val="24"/>
          <w:lang w:eastAsia="zh-CN" w:bidi="ar-SA"/>
        </w:rPr>
      </w:pPr>
    </w:p>
    <w:p w14:paraId="2804FDF3">
      <w:pPr>
        <w:spacing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br w:type="page"/>
      </w:r>
    </w:p>
    <w:p w14:paraId="14D22C8E">
      <w:pPr>
        <w:pStyle w:val="2"/>
        <w:rPr>
          <w:lang w:eastAsia="zh-CN"/>
        </w:rPr>
      </w:pPr>
      <w:bookmarkStart w:id="29" w:name="_Toc227741591"/>
      <w:bookmarkStart w:id="30" w:name="_Toc226992337"/>
      <w:r>
        <w:rPr>
          <w:rFonts w:hint="eastAsia"/>
          <w:lang w:eastAsia="zh-CN"/>
        </w:rPr>
        <w:t>附录3  IMS认证证书编号规则</w:t>
      </w:r>
      <w:bookmarkEnd w:id="29"/>
      <w:bookmarkEnd w:id="30"/>
    </w:p>
    <w:p w14:paraId="1D642E16">
      <w:pPr>
        <w:spacing w:after="0" w:line="360" w:lineRule="auto"/>
        <w:ind w:right="-297" w:rightChars="-135"/>
        <w:jc w:val="center"/>
        <w:rPr>
          <w:rFonts w:ascii="Times New Roman" w:hAnsi="Times New Roman" w:cs="Times New Roman"/>
          <w:sz w:val="32"/>
          <w:szCs w:val="32"/>
          <w:lang w:eastAsia="zh-CN"/>
        </w:rPr>
      </w:pPr>
      <w:r>
        <w:rPr>
          <w:rFonts w:hint="eastAsia" w:ascii="Times New Roman" w:hAnsi="Times New Roman" w:cs="Times New Roman"/>
          <w:sz w:val="32"/>
          <w:szCs w:val="32"/>
          <w:lang w:eastAsia="zh-CN"/>
        </w:rPr>
        <w:t>IMS认证证书编号规则</w:t>
      </w:r>
    </w:p>
    <w:p w14:paraId="2015C564">
      <w:pPr>
        <w:spacing w:line="400" w:lineRule="exact"/>
        <w:ind w:right="9" w:firstLine="560"/>
        <w:rPr>
          <w:rFonts w:ascii="Times New Roman" w:hAnsi="Times New Roman" w:cs="Times New Roman"/>
          <w:sz w:val="24"/>
          <w:szCs w:val="24"/>
          <w:lang w:eastAsia="zh-CN"/>
        </w:rPr>
      </w:pPr>
      <w:r>
        <w:rPr>
          <w:rFonts w:hint="eastAsia" w:ascii="Times New Roman" w:hAnsi="Times New Roman" w:cs="Times New Roman"/>
          <w:spacing w:val="-3"/>
          <w:sz w:val="24"/>
          <w:szCs w:val="24"/>
          <w:lang w:eastAsia="zh-CN"/>
        </w:rPr>
        <w:t>2</w:t>
      </w:r>
      <w:r>
        <w:rPr>
          <w:rFonts w:ascii="Times New Roman" w:hAnsi="Times New Roman" w:cs="Times New Roman"/>
          <w:spacing w:val="-3"/>
          <w:sz w:val="24"/>
          <w:szCs w:val="24"/>
          <w:lang w:eastAsia="zh-CN"/>
        </w:rPr>
        <w:t xml:space="preserve">.1 </w:t>
      </w:r>
      <w:r>
        <w:rPr>
          <w:rFonts w:hint="eastAsia" w:ascii="Times New Roman" w:hAnsi="Times New Roman" w:cs="Times New Roman"/>
          <w:spacing w:val="-3"/>
          <w:sz w:val="24"/>
          <w:szCs w:val="24"/>
          <w:lang w:eastAsia="zh-CN"/>
        </w:rPr>
        <w:t>IMS</w:t>
      </w:r>
      <w:r>
        <w:rPr>
          <w:rFonts w:ascii="Times New Roman" w:hAnsi="Times New Roman" w:cs="Times New Roman"/>
          <w:spacing w:val="-3"/>
          <w:sz w:val="24"/>
          <w:szCs w:val="24"/>
          <w:lang w:eastAsia="zh-CN"/>
        </w:rPr>
        <w:t xml:space="preserve"> </w:t>
      </w:r>
      <w:r>
        <w:rPr>
          <w:rFonts w:ascii="Times New Roman" w:cs="Times New Roman" w:hAnsiTheme="minorEastAsia"/>
          <w:spacing w:val="-3"/>
          <w:sz w:val="24"/>
          <w:szCs w:val="24"/>
          <w:lang w:eastAsia="zh-CN"/>
        </w:rPr>
        <w:t>认证证书编号由认证机构代码、发证年份号、</w:t>
      </w:r>
      <w:r>
        <w:rPr>
          <w:rFonts w:hint="eastAsia" w:ascii="Times New Roman" w:hAnsi="Times New Roman" w:cs="Times New Roman"/>
          <w:spacing w:val="-3"/>
          <w:sz w:val="24"/>
          <w:szCs w:val="24"/>
          <w:lang w:eastAsia="zh-CN"/>
        </w:rPr>
        <w:t>IMS</w:t>
      </w:r>
      <w:r>
        <w:rPr>
          <w:rFonts w:ascii="Times New Roman" w:cs="Times New Roman" w:hAnsiTheme="minorEastAsia"/>
          <w:spacing w:val="-4"/>
          <w:sz w:val="24"/>
          <w:szCs w:val="24"/>
          <w:lang w:eastAsia="zh-CN"/>
        </w:rPr>
        <w:t>简写、顺</w:t>
      </w:r>
      <w:r>
        <w:rPr>
          <w:rFonts w:ascii="Times New Roman" w:cs="Times New Roman" w:hAnsiTheme="minorEastAsia"/>
          <w:spacing w:val="-1"/>
          <w:sz w:val="24"/>
          <w:szCs w:val="24"/>
          <w:lang w:eastAsia="zh-CN"/>
        </w:rPr>
        <w:t>序号、认证周期、认可机构代码和子证书号构成，格式如下：</w:t>
      </w:r>
    </w:p>
    <w:p w14:paraId="369E6B04">
      <w:pPr>
        <w:rPr>
          <w:rFonts w:ascii="Times New Roman" w:hAnsi="Times New Roman" w:cs="Times New Roman"/>
          <w:sz w:val="24"/>
          <w:szCs w:val="24"/>
          <w:lang w:eastAsia="zh-CN"/>
        </w:rPr>
      </w:pPr>
      <w:r>
        <w:rPr>
          <w:rFonts w:ascii="Times New Roman" w:hAnsi="Times New Roman" w:cs="Times New Roman"/>
          <w:sz w:val="24"/>
          <w:szCs w:val="24"/>
          <w:lang w:eastAsia="zh-CN" w:bidi="ar-SA"/>
        </w:rPr>
        <w:pict>
          <v:shape id="_x0000_s1034" o:spid="_x0000_s1034" o:spt="32" type="#_x0000_t32" style="position:absolute;left:0pt;margin-left:121.5pt;margin-top:23.7pt;height:116.9pt;width:0pt;z-index:251659264;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43" o:spid="_x0000_s1043" o:spt="32" type="#_x0000_t32" style="position:absolute;left:0pt;margin-left:198pt;margin-top:23.7pt;height:44.05pt;width:0pt;z-index:251660288;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44" o:spid="_x0000_s1044" o:spt="32" type="#_x0000_t32" style="position:absolute;left:0pt;margin-left:231pt;margin-top:24.5pt;height:8.7pt;width:0.7pt;z-index:251661312;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943  XX</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 xml:space="preserve">XX  </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X</w:t>
      </w:r>
      <w:r>
        <w:rPr>
          <w:rFonts w:ascii="Times New Roman" w:hAnsi="Times New Roman" w:cs="Times New Roman"/>
          <w:sz w:val="24"/>
          <w:szCs w:val="24"/>
          <w:lang w:eastAsia="zh-CN"/>
        </w:rPr>
        <w:t xml:space="preserve">XXXX  R0 </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XX </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X  </w:t>
      </w:r>
    </w:p>
    <w:p w14:paraId="51BEA567">
      <w:pPr>
        <w:spacing w:after="0" w:line="240" w:lineRule="exact"/>
        <w:ind w:left="5244" w:leftChars="-63" w:hanging="5383" w:hangingChars="2243"/>
        <w:rPr>
          <w:rFonts w:ascii="Times New Roman" w:hAnsi="Times New Roman" w:cs="Times New Roman"/>
          <w:sz w:val="24"/>
          <w:szCs w:val="24"/>
          <w:lang w:eastAsia="zh-CN"/>
        </w:rPr>
      </w:pPr>
      <w:r>
        <w:rPr>
          <w:rFonts w:ascii="Times New Roman" w:hAnsi="Times New Roman" w:cs="Times New Roman"/>
          <w:sz w:val="24"/>
          <w:szCs w:val="24"/>
          <w:lang w:eastAsia="zh-CN" w:bidi="ar-SA"/>
        </w:rPr>
        <w:pict>
          <v:shape id="_x0000_s1036" o:spid="_x0000_s1036" o:spt="32" type="#_x0000_t32" style="position:absolute;left:0pt;margin-left:9.65pt;margin-top:-0.35pt;height:212.15pt;width:1.15pt;z-index:251662336;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37" o:spid="_x0000_s1037" o:spt="32" type="#_x0000_t32" style="position:absolute;left:0pt;margin-left:41.05pt;margin-top:-0.35pt;height:174.4pt;width:0pt;z-index:251663360;mso-width-relative:page;mso-height-relative:page;" o:connectortype="straight" filled="f" coordsize="21600,21600">
            <v:path arrowok="t"/>
            <v:fill on="f" focussize="0,0"/>
            <v:stroke/>
            <v:imagedata o:title=""/>
            <o:lock v:ext="edit"/>
          </v:shape>
        </w:pict>
      </w:r>
      <w:r>
        <w:rPr>
          <w:rFonts w:ascii="Times New Roman" w:hAnsi="Times New Roman" w:cs="Times New Roman"/>
          <w:sz w:val="21"/>
          <w:szCs w:val="21"/>
          <w:lang w:eastAsia="zh-CN"/>
        </w:rPr>
        <w:pict>
          <v:shape id="_x0000_s1045" o:spid="_x0000_s1045" o:spt="32" type="#_x0000_t32" style="position:absolute;left:0pt;margin-left:231pt;margin-top:6.75pt;height:0.85pt;width:28.3pt;z-index:251664384;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35" o:spid="_x0000_s1035" o:spt="32" type="#_x0000_t32" style="position:absolute;left:0pt;margin-left:74.25pt;margin-top:-0.35pt;height:151pt;width:0pt;z-index:251665408;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33" o:spid="_x0000_s1033" o:spt="32" type="#_x0000_t32" style="position:absolute;left:0pt;margin-left:165pt;margin-top:-0.55pt;height:79.25pt;width:0pt;z-index:251666432;mso-width-relative:page;mso-height-relative:page;" o:connectortype="straight" filled="f" coordsize="21600,21600">
            <v:path arrowok="t"/>
            <v:fill on="f" focussize="0,0"/>
            <v:stroke/>
            <v:imagedata o:title=""/>
            <o:lock v:ext="edit"/>
          </v:shape>
        </w:pict>
      </w:r>
      <w:r>
        <w:rPr>
          <w:rFonts w:ascii="Times New Roman" w:hAnsi="Times New Roman" w:cs="Times New Roman"/>
          <w:sz w:val="21"/>
          <w:szCs w:val="21"/>
          <w:lang w:eastAsia="zh-CN"/>
        </w:rPr>
        <w:t xml:space="preserve">                                                   </w:t>
      </w:r>
      <w:r>
        <w:rPr>
          <w:rFonts w:ascii="Times New Roman" w:cs="Times New Roman"/>
          <w:sz w:val="24"/>
          <w:szCs w:val="24"/>
          <w:lang w:eastAsia="zh-CN"/>
        </w:rPr>
        <w:t>多场所组织的子证书编号，在主证书编号后加子证书序号：</w:t>
      </w:r>
      <w:r>
        <w:rPr>
          <w:rFonts w:ascii="Times New Roman" w:hAnsi="Times New Roman" w:cs="Times New Roman"/>
          <w:sz w:val="24"/>
          <w:szCs w:val="24"/>
          <w:lang w:eastAsia="zh-CN"/>
        </w:rPr>
        <w:t>-1</w:t>
      </w:r>
      <w:r>
        <w:rPr>
          <w:rFonts w:ascii="Times New Roman" w:cs="Times New Roman"/>
          <w:sz w:val="24"/>
          <w:szCs w:val="24"/>
          <w:lang w:eastAsia="zh-CN"/>
        </w:rPr>
        <w:t>，</w:t>
      </w:r>
      <w:r>
        <w:rPr>
          <w:rFonts w:ascii="Times New Roman" w:hAnsi="Times New Roman" w:cs="Times New Roman"/>
          <w:sz w:val="24"/>
          <w:szCs w:val="24"/>
          <w:lang w:eastAsia="zh-CN"/>
        </w:rPr>
        <w:t>-2</w:t>
      </w:r>
      <w:r>
        <w:rPr>
          <w:rFonts w:ascii="Times New Roman" w:cs="Times New Roman"/>
          <w:sz w:val="24"/>
          <w:szCs w:val="24"/>
          <w:lang w:eastAsia="zh-CN"/>
        </w:rPr>
        <w:t>，</w:t>
      </w:r>
      <w:r>
        <w:rPr>
          <w:rFonts w:ascii="Times New Roman" w:hAnsi="Times New Roman" w:cs="Times New Roman"/>
          <w:sz w:val="24"/>
          <w:szCs w:val="24"/>
          <w:lang w:eastAsia="zh-CN"/>
        </w:rPr>
        <w:t>-3</w:t>
      </w:r>
      <w:r>
        <w:rPr>
          <w:rFonts w:ascii="Times New Roman" w:cs="Times New Roman"/>
          <w:sz w:val="24"/>
          <w:szCs w:val="24"/>
          <w:lang w:eastAsia="zh-CN"/>
        </w:rPr>
        <w:t>，</w:t>
      </w:r>
      <w:r>
        <w:rPr>
          <w:rFonts w:ascii="Times New Roman" w:hAnsi="Times New Roman" w:cs="Times New Roman"/>
          <w:sz w:val="24"/>
          <w:szCs w:val="24"/>
          <w:lang w:eastAsia="zh-CN"/>
        </w:rPr>
        <w:t xml:space="preserve">……                                        </w:t>
      </w:r>
    </w:p>
    <w:p w14:paraId="41C885F0">
      <w:pPr>
        <w:spacing w:after="0" w:line="240" w:lineRule="exact"/>
        <w:ind w:left="6317" w:hanging="6316" w:hangingChars="2632"/>
        <w:rPr>
          <w:rFonts w:ascii="Times New Roman" w:hAnsi="Times New Roman" w:cs="Times New Roman"/>
          <w:sz w:val="24"/>
          <w:szCs w:val="24"/>
          <w:lang w:eastAsia="zh-CN"/>
        </w:rPr>
      </w:pPr>
    </w:p>
    <w:p w14:paraId="13ED43A7">
      <w:pPr>
        <w:spacing w:after="0" w:line="240" w:lineRule="exact"/>
        <w:ind w:left="5241" w:leftChars="2364" w:hanging="40" w:hangingChars="17"/>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32" o:spid="_x0000_s1032" o:spt="32" type="#_x0000_t32" style="position:absolute;left:0pt;margin-left:198pt;margin-top:6.1pt;height:0pt;width:61.3pt;z-index:251667456;mso-width-relative:page;mso-height-relative:page;" o:connectortype="straight" filled="f" coordsize="21600,21600">
            <v:path arrowok="t"/>
            <v:fill on="f" focussize="0,0"/>
            <v:stroke/>
            <v:imagedata o:title=""/>
            <o:lock v:ext="edit"/>
          </v:shape>
        </w:pict>
      </w:r>
      <w:r>
        <w:rPr>
          <w:rFonts w:ascii="Times New Roman" w:cs="Times New Roman"/>
          <w:sz w:val="24"/>
          <w:szCs w:val="24"/>
          <w:lang w:eastAsia="zh-CN"/>
        </w:rPr>
        <w:t>通过认可后，为认可机构代码，未通过认</w:t>
      </w:r>
      <w:r>
        <w:rPr>
          <w:rFonts w:hint="eastAsia" w:ascii="Times New Roman" w:cs="Times New Roman"/>
          <w:sz w:val="24"/>
          <w:szCs w:val="24"/>
          <w:lang w:eastAsia="zh-CN"/>
        </w:rPr>
        <w:t>可</w:t>
      </w:r>
      <w:r>
        <w:rPr>
          <w:rFonts w:ascii="Times New Roman" w:cs="Times New Roman"/>
          <w:sz w:val="24"/>
          <w:szCs w:val="24"/>
          <w:lang w:eastAsia="zh-CN"/>
        </w:rPr>
        <w:t>代码为：</w:t>
      </w:r>
      <w:r>
        <w:rPr>
          <w:rFonts w:ascii="Times New Roman" w:hAnsi="Times New Roman" w:cs="Times New Roman"/>
          <w:sz w:val="24"/>
          <w:szCs w:val="24"/>
          <w:lang w:eastAsia="zh-CN"/>
        </w:rPr>
        <w:t xml:space="preserve">00                                    </w:t>
      </w:r>
    </w:p>
    <w:p w14:paraId="330E6DA0">
      <w:pPr>
        <w:spacing w:after="0" w:line="240" w:lineRule="exact"/>
        <w:ind w:left="6317" w:hanging="6316" w:hangingChars="2632"/>
        <w:rPr>
          <w:rFonts w:ascii="Times New Roman" w:hAnsi="Times New Roman" w:cs="Times New Roman"/>
          <w:sz w:val="24"/>
          <w:szCs w:val="24"/>
          <w:lang w:eastAsia="zh-CN"/>
        </w:rPr>
      </w:pPr>
    </w:p>
    <w:p w14:paraId="2C53CC15">
      <w:pPr>
        <w:spacing w:after="0" w:line="240" w:lineRule="exact"/>
        <w:ind w:left="5241" w:leftChars="2364" w:hanging="40" w:hangingChars="17"/>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38" o:spid="_x0000_s1038" o:spt="32" type="#_x0000_t32" style="position:absolute;left:0pt;margin-left:165pt;margin-top:6.7pt;height:0pt;width:94.3pt;z-index:251667456;mso-width-relative:page;mso-height-relative:page;" o:connectortype="straight" filled="f" coordsize="21600,21600">
            <v:path arrowok="t"/>
            <v:fill on="f" focussize="0,0"/>
            <v:stroke/>
            <v:imagedata o:title=""/>
            <o:lock v:ext="edit"/>
          </v:shape>
        </w:pict>
      </w:r>
      <w:r>
        <w:rPr>
          <w:rFonts w:ascii="Times New Roman" w:cs="Times New Roman"/>
          <w:sz w:val="24"/>
          <w:szCs w:val="24"/>
          <w:lang w:eastAsia="zh-CN"/>
        </w:rPr>
        <w:t>初次认证为：</w:t>
      </w:r>
      <w:r>
        <w:rPr>
          <w:rFonts w:ascii="Times New Roman" w:hAnsi="Times New Roman" w:cs="Times New Roman"/>
          <w:sz w:val="24"/>
          <w:szCs w:val="24"/>
          <w:lang w:eastAsia="zh-CN"/>
        </w:rPr>
        <w:t>R0</w:t>
      </w:r>
      <w:r>
        <w:rPr>
          <w:rFonts w:ascii="Times New Roman" w:cs="Times New Roman"/>
          <w:sz w:val="24"/>
          <w:szCs w:val="24"/>
          <w:lang w:eastAsia="zh-CN"/>
        </w:rPr>
        <w:t>，第一次再认证为：</w:t>
      </w:r>
      <w:r>
        <w:rPr>
          <w:rFonts w:ascii="Times New Roman" w:hAnsi="Times New Roman" w:cs="Times New Roman"/>
          <w:sz w:val="24"/>
          <w:szCs w:val="24"/>
          <w:lang w:eastAsia="zh-CN"/>
        </w:rPr>
        <w:t>R1</w:t>
      </w:r>
      <w:r>
        <w:rPr>
          <w:rFonts w:ascii="Times New Roman" w:cs="Times New Roman"/>
          <w:sz w:val="24"/>
          <w:szCs w:val="24"/>
          <w:lang w:eastAsia="zh-CN"/>
        </w:rPr>
        <w:t>，第二次再认证为：</w:t>
      </w:r>
      <w:r>
        <w:rPr>
          <w:rFonts w:ascii="Times New Roman" w:hAnsi="Times New Roman" w:cs="Times New Roman"/>
          <w:sz w:val="24"/>
          <w:szCs w:val="24"/>
          <w:lang w:eastAsia="zh-CN"/>
        </w:rPr>
        <w:t>R2</w:t>
      </w:r>
      <w:r>
        <w:rPr>
          <w:rFonts w:ascii="Times New Roman" w:cs="Times New Roman"/>
          <w:sz w:val="24"/>
          <w:szCs w:val="24"/>
          <w:lang w:eastAsia="zh-CN"/>
        </w:rPr>
        <w:t>，以此类推</w:t>
      </w:r>
    </w:p>
    <w:p w14:paraId="7E448A5E">
      <w:pPr>
        <w:spacing w:after="0" w:line="240" w:lineRule="exact"/>
        <w:ind w:left="6317" w:hanging="6316" w:hangingChars="2632"/>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39" o:spid="_x0000_s1039" o:spt="32" type="#_x0000_t32" style="position:absolute;left:0pt;margin-left:121.5pt;margin-top:19pt;height:0.05pt;width:137.8pt;z-index:251668480;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p>
    <w:p w14:paraId="0463C06B">
      <w:pPr>
        <w:spacing w:after="0" w:line="240" w:lineRule="exact"/>
        <w:ind w:left="5254" w:leftChars="2388"/>
        <w:rPr>
          <w:rFonts w:ascii="Times New Roman" w:hAnsi="Times New Roman" w:cs="Times New Roman"/>
          <w:sz w:val="24"/>
          <w:szCs w:val="24"/>
          <w:lang w:eastAsia="zh-CN"/>
        </w:rPr>
      </w:pPr>
      <w:r>
        <w:rPr>
          <w:rFonts w:ascii="Times New Roman" w:cs="Times New Roman"/>
          <w:sz w:val="24"/>
          <w:szCs w:val="24"/>
          <w:lang w:eastAsia="zh-CN"/>
        </w:rPr>
        <w:t>顺序号，本公司当年发证书的顺序累计号：</w:t>
      </w:r>
      <w:r>
        <w:rPr>
          <w:rFonts w:hint="eastAsia" w:ascii="Times New Roman" w:hAnsi="Times New Roman" w:cs="Times New Roman"/>
          <w:sz w:val="24"/>
          <w:szCs w:val="24"/>
          <w:lang w:eastAsia="zh-CN"/>
        </w:rPr>
        <w:t>00</w:t>
      </w:r>
      <w:r>
        <w:rPr>
          <w:rFonts w:ascii="Times New Roman" w:hAnsi="Times New Roman" w:cs="Times New Roman"/>
          <w:sz w:val="24"/>
          <w:szCs w:val="24"/>
          <w:lang w:eastAsia="zh-CN"/>
        </w:rPr>
        <w:t>001</w:t>
      </w:r>
      <w:r>
        <w:rPr>
          <w:rFonts w:ascii="Times New Roman" w:cs="Times New Roman"/>
          <w:sz w:val="24"/>
          <w:szCs w:val="24"/>
          <w:lang w:eastAsia="zh-CN"/>
        </w:rPr>
        <w:t>，</w:t>
      </w:r>
      <w:r>
        <w:rPr>
          <w:rFonts w:hint="eastAsia" w:ascii="Times New Roman" w:hAnsi="Times New Roman" w:cs="Times New Roman"/>
          <w:sz w:val="24"/>
          <w:szCs w:val="24"/>
          <w:lang w:eastAsia="zh-CN"/>
        </w:rPr>
        <w:t>00</w:t>
      </w:r>
      <w:r>
        <w:rPr>
          <w:rFonts w:ascii="Times New Roman" w:hAnsi="Times New Roman" w:cs="Times New Roman"/>
          <w:sz w:val="24"/>
          <w:szCs w:val="24"/>
          <w:lang w:eastAsia="zh-CN"/>
        </w:rPr>
        <w:t>002</w:t>
      </w:r>
      <w:r>
        <w:rPr>
          <w:rFonts w:ascii="Times New Roman" w:cs="Times New Roman"/>
          <w:sz w:val="24"/>
          <w:szCs w:val="24"/>
          <w:lang w:eastAsia="zh-CN"/>
        </w:rPr>
        <w:t>，</w:t>
      </w:r>
      <w:r>
        <w:rPr>
          <w:rFonts w:hint="eastAsia" w:ascii="Times New Roman" w:hAnsi="Times New Roman" w:cs="Times New Roman"/>
          <w:sz w:val="24"/>
          <w:szCs w:val="24"/>
          <w:lang w:eastAsia="zh-CN"/>
        </w:rPr>
        <w:t>00</w:t>
      </w:r>
      <w:r>
        <w:rPr>
          <w:rFonts w:ascii="Times New Roman" w:hAnsi="Times New Roman" w:cs="Times New Roman"/>
          <w:sz w:val="24"/>
          <w:szCs w:val="24"/>
          <w:lang w:eastAsia="zh-CN"/>
        </w:rPr>
        <w:t>003</w:t>
      </w:r>
      <w:r>
        <w:rPr>
          <w:rFonts w:ascii="Times New Roman" w:cs="Times New Roman"/>
          <w:sz w:val="24"/>
          <w:szCs w:val="24"/>
          <w:lang w:eastAsia="zh-CN"/>
        </w:rPr>
        <w:t>，</w:t>
      </w:r>
      <w:r>
        <w:rPr>
          <w:rFonts w:ascii="Times New Roman" w:hAnsi="Times New Roman" w:cs="Times New Roman"/>
          <w:sz w:val="24"/>
          <w:szCs w:val="24"/>
          <w:lang w:eastAsia="zh-CN"/>
        </w:rPr>
        <w:t>.......</w:t>
      </w:r>
    </w:p>
    <w:p w14:paraId="178C786B">
      <w:pPr>
        <w:spacing w:after="0" w:line="240" w:lineRule="exact"/>
        <w:ind w:left="5731" w:leftChars="2605" w:firstLine="480" w:firstLineChars="200"/>
        <w:rPr>
          <w:rFonts w:ascii="Times New Roman" w:hAnsi="Times New Roman" w:cs="Times New Roman"/>
          <w:sz w:val="24"/>
          <w:szCs w:val="24"/>
          <w:lang w:eastAsia="zh-CN"/>
        </w:rPr>
      </w:pPr>
      <w:r>
        <w:rPr>
          <w:rFonts w:ascii="Times New Roman" w:hAnsi="Times New Roman" w:cs="Times New Roman"/>
          <w:sz w:val="24"/>
          <w:szCs w:val="24"/>
          <w:lang w:eastAsia="zh-CN"/>
        </w:rPr>
        <w:t xml:space="preserve">                                               </w:t>
      </w:r>
    </w:p>
    <w:p w14:paraId="6CD48EF0">
      <w:pPr>
        <w:spacing w:after="0" w:line="240" w:lineRule="exact"/>
        <w:ind w:left="5245" w:leftChars="-463" w:hanging="6264" w:hangingChars="2610"/>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40" o:spid="_x0000_s1040" o:spt="32" type="#_x0000_t32" style="position:absolute;left:0pt;margin-left:74.25pt;margin-top:6.65pt;height:0pt;width:185.05pt;z-index:251669504;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 xml:space="preserve">         </w:t>
      </w:r>
      <w:r>
        <w:rPr>
          <w:rFonts w:ascii="Times New Roman" w:cs="Times New Roman"/>
          <w:sz w:val="24"/>
          <w:szCs w:val="24"/>
          <w:lang w:eastAsia="zh-CN"/>
        </w:rPr>
        <w:t>认证证书所属领域代号：</w:t>
      </w:r>
      <w:r>
        <w:rPr>
          <w:rFonts w:hint="eastAsia" w:ascii="Times New Roman" w:hAnsi="Times New Roman" w:cs="Times New Roman"/>
          <w:sz w:val="24"/>
          <w:szCs w:val="24"/>
          <w:lang w:eastAsia="zh-CN"/>
        </w:rPr>
        <w:t>CX</w:t>
      </w:r>
      <w:r>
        <w:rPr>
          <w:rFonts w:ascii="Times New Roman" w:cs="Times New Roman"/>
          <w:sz w:val="24"/>
          <w:szCs w:val="24"/>
          <w:lang w:eastAsia="zh-CN"/>
        </w:rPr>
        <w:t>为</w:t>
      </w:r>
      <w:r>
        <w:rPr>
          <w:rFonts w:hint="eastAsia" w:ascii="Times New Roman" w:hAnsi="Times New Roman" w:cs="Times New Roman"/>
          <w:sz w:val="24"/>
          <w:szCs w:val="24"/>
          <w:lang w:eastAsia="zh-CN"/>
        </w:rPr>
        <w:t>IMS</w:t>
      </w:r>
      <w:r>
        <w:rPr>
          <w:rFonts w:ascii="Times New Roman" w:cs="Times New Roman"/>
          <w:sz w:val="24"/>
          <w:szCs w:val="24"/>
          <w:lang w:eastAsia="zh-CN"/>
        </w:rPr>
        <w:t>。</w:t>
      </w:r>
    </w:p>
    <w:p w14:paraId="4BA7060B">
      <w:pPr>
        <w:spacing w:after="0" w:line="240" w:lineRule="exact"/>
        <w:ind w:left="5245" w:leftChars="2384" w:firstLine="964" w:firstLineChars="402"/>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41" o:spid="_x0000_s1041" o:spt="32" type="#_x0000_t32" style="position:absolute;left:0pt;margin-left:41.05pt;margin-top:18.05pt;height:0pt;width:218.25pt;z-index:251670528;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r>
        <w:rPr>
          <w:rFonts w:ascii="Times New Roman" w:cs="Times New Roman"/>
          <w:sz w:val="24"/>
          <w:szCs w:val="24"/>
          <w:lang w:eastAsia="zh-CN"/>
        </w:rPr>
        <w:t>年份号，证书发放的年份：</w:t>
      </w:r>
      <w:r>
        <w:rPr>
          <w:rFonts w:ascii="Times New Roman" w:hAnsi="Times New Roman" w:cs="Times New Roman"/>
          <w:sz w:val="24"/>
          <w:szCs w:val="24"/>
          <w:lang w:eastAsia="zh-CN"/>
        </w:rPr>
        <w:t>25-2025</w:t>
      </w:r>
      <w:r>
        <w:rPr>
          <w:rFonts w:ascii="Times New Roman" w:cs="Times New Roman"/>
          <w:sz w:val="24"/>
          <w:szCs w:val="24"/>
          <w:lang w:eastAsia="zh-CN"/>
        </w:rPr>
        <w:t>，</w:t>
      </w:r>
      <w:r>
        <w:rPr>
          <w:rFonts w:ascii="Times New Roman" w:hAnsi="Times New Roman" w:cs="Times New Roman"/>
          <w:sz w:val="24"/>
          <w:szCs w:val="24"/>
          <w:lang w:eastAsia="zh-CN"/>
        </w:rPr>
        <w:t>26-2026</w:t>
      </w:r>
      <w:r>
        <w:rPr>
          <w:rFonts w:ascii="Times New Roman" w:cs="Times New Roman"/>
          <w:sz w:val="24"/>
          <w:szCs w:val="24"/>
          <w:lang w:eastAsia="zh-CN"/>
        </w:rPr>
        <w:t>，</w:t>
      </w:r>
      <w:r>
        <w:rPr>
          <w:rFonts w:ascii="Times New Roman" w:hAnsi="Times New Roman" w:cs="Times New Roman"/>
          <w:sz w:val="24"/>
          <w:szCs w:val="24"/>
          <w:lang w:eastAsia="zh-CN"/>
        </w:rPr>
        <w:t>…..</w:t>
      </w:r>
    </w:p>
    <w:p w14:paraId="0235C7A4">
      <w:pPr>
        <w:spacing w:after="0" w:line="240" w:lineRule="exact"/>
        <w:ind w:left="5245" w:leftChars="2384" w:firstLine="964" w:firstLineChars="402"/>
        <w:rPr>
          <w:rFonts w:ascii="Times New Roman" w:hAnsi="Times New Roman" w:cs="Times New Roman"/>
          <w:sz w:val="21"/>
          <w:szCs w:val="21"/>
          <w:lang w:eastAsia="zh-CN"/>
        </w:rPr>
      </w:pPr>
      <w:r>
        <w:rPr>
          <w:rFonts w:ascii="Times New Roman" w:hAnsi="Times New Roman" w:cs="Times New Roman"/>
          <w:sz w:val="24"/>
          <w:szCs w:val="24"/>
          <w:lang w:eastAsia="zh-CN"/>
        </w:rPr>
        <w:pict>
          <v:shape id="_x0000_s1042" o:spid="_x0000_s1042" o:spt="32" type="#_x0000_t32" style="position:absolute;left:0pt;margin-left:10.8pt;margin-top:19.8pt;height:0pt;width:248.5pt;z-index:251671552;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r>
        <w:rPr>
          <w:rFonts w:ascii="Times New Roman" w:cs="Times New Roman"/>
          <w:sz w:val="24"/>
          <w:szCs w:val="24"/>
          <w:lang w:eastAsia="zh-CN"/>
        </w:rPr>
        <w:t>认证机构批准号后三位数字</w:t>
      </w:r>
      <w:r>
        <w:rPr>
          <w:rFonts w:ascii="Times New Roman" w:hAnsi="Times New Roman" w:cs="Times New Roman"/>
          <w:sz w:val="21"/>
          <w:szCs w:val="21"/>
          <w:lang w:eastAsia="zh-CN"/>
        </w:rPr>
        <w:t xml:space="preserve">                                                                      </w:t>
      </w:r>
    </w:p>
    <w:p w14:paraId="17C44206">
      <w:pPr>
        <w:spacing w:after="0" w:line="240" w:lineRule="exact"/>
        <w:rPr>
          <w:rFonts w:ascii="Times New Roman" w:hAnsi="Times New Roman" w:cs="Times New Roman"/>
          <w:sz w:val="21"/>
          <w:szCs w:val="21"/>
          <w:lang w:eastAsia="zh-CN"/>
        </w:rPr>
      </w:pPr>
    </w:p>
    <w:p w14:paraId="017FEAC9">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2</w:t>
      </w:r>
      <w:r>
        <w:rPr>
          <w:rFonts w:ascii="Times New Roman" w:cs="Times New Roman"/>
          <w:sz w:val="24"/>
          <w:szCs w:val="24"/>
          <w:lang w:eastAsia="zh-CN" w:bidi="ar-SA"/>
        </w:rPr>
        <w:t>.2同一个组织的认证范围覆盖多个场所并需要颁发子证书时，在子认证证书编号后加上“—”和序号，如—1（—2，—3，…)。</w:t>
      </w:r>
    </w:p>
    <w:p w14:paraId="3B66DD41">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2</w:t>
      </w:r>
      <w:r>
        <w:rPr>
          <w:rFonts w:ascii="Times New Roman" w:cs="Times New Roman"/>
          <w:sz w:val="24"/>
          <w:szCs w:val="24"/>
          <w:lang w:eastAsia="zh-CN" w:bidi="ar-SA"/>
        </w:rPr>
        <w:t>.3  有效期内换发认证证书，认证证书编号中的机构批准号、年份号、顺序号和认证证书的有效期保持不变，</w:t>
      </w:r>
      <w:r>
        <w:rPr>
          <w:rFonts w:hint="eastAsia" w:ascii="Times New Roman" w:cs="Times New Roman"/>
          <w:sz w:val="24"/>
          <w:szCs w:val="24"/>
          <w:lang w:eastAsia="zh-CN" w:bidi="ar-SA"/>
        </w:rPr>
        <w:t>并</w:t>
      </w:r>
      <w:r>
        <w:rPr>
          <w:rFonts w:ascii="Times New Roman" w:cs="Times New Roman"/>
          <w:sz w:val="24"/>
          <w:szCs w:val="24"/>
          <w:lang w:eastAsia="zh-CN" w:bidi="ar-SA"/>
        </w:rPr>
        <w:t>注明换证日期。</w:t>
      </w:r>
    </w:p>
    <w:p w14:paraId="53E215ED">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2</w:t>
      </w:r>
      <w:r>
        <w:rPr>
          <w:rFonts w:ascii="Times New Roman" w:cs="Times New Roman"/>
          <w:sz w:val="24"/>
          <w:szCs w:val="24"/>
          <w:lang w:eastAsia="zh-CN" w:bidi="ar-SA"/>
        </w:rPr>
        <w:t>.4  再认证完成后换发认证证书，按</w:t>
      </w:r>
      <w:r>
        <w:rPr>
          <w:rFonts w:hint="eastAsia" w:ascii="Times New Roman" w:cs="Times New Roman"/>
          <w:sz w:val="24"/>
          <w:szCs w:val="24"/>
          <w:lang w:eastAsia="zh-CN" w:bidi="ar-SA"/>
        </w:rPr>
        <w:t>2</w:t>
      </w:r>
      <w:r>
        <w:rPr>
          <w:rFonts w:ascii="Times New Roman" w:cs="Times New Roman"/>
          <w:sz w:val="24"/>
          <w:szCs w:val="24"/>
          <w:lang w:eastAsia="zh-CN" w:bidi="ar-SA"/>
        </w:rPr>
        <w:t>.1规定重新赋予认证证书编号，初次认证为“R0”，第一次再认证为“R1”，第二次再认证为“R2”，依此类推。</w:t>
      </w:r>
    </w:p>
    <w:p w14:paraId="4E6BAD10">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2</w:t>
      </w:r>
      <w:r>
        <w:rPr>
          <w:rFonts w:ascii="Times New Roman" w:cs="Times New Roman"/>
          <w:sz w:val="24"/>
          <w:szCs w:val="24"/>
          <w:lang w:eastAsia="zh-CN" w:bidi="ar-SA"/>
        </w:rPr>
        <w:t>.5  撤销认证证书后，原认证证书编号废止，不再使用。</w:t>
      </w:r>
    </w:p>
    <w:p w14:paraId="7B5EFAE9">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p>
    <w:p w14:paraId="711F2A9F">
      <w:pPr>
        <w:spacing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br w:type="page"/>
      </w:r>
    </w:p>
    <w:p w14:paraId="36BABD15">
      <w:pPr>
        <w:pStyle w:val="2"/>
        <w:rPr>
          <w:rFonts w:hAnsi="Times New Roman"/>
          <w:color w:val="000000"/>
          <w:lang w:eastAsia="zh-CN"/>
        </w:rPr>
      </w:pPr>
      <w:bookmarkStart w:id="31" w:name="_Toc227741592"/>
      <w:r>
        <w:rPr>
          <w:lang w:eastAsia="zh-CN"/>
        </w:rPr>
        <w:t>附录4</w:t>
      </w:r>
      <w:r>
        <w:rPr>
          <w:rFonts w:hint="eastAsia" w:hAnsi="Times New Roman"/>
          <w:lang w:eastAsia="zh-CN"/>
        </w:rPr>
        <w:t xml:space="preserve">  更改控制页</w:t>
      </w:r>
      <w:bookmarkEnd w:id="31"/>
    </w:p>
    <w:p w14:paraId="6F26A806">
      <w:pPr>
        <w:spacing w:beforeLines="50"/>
        <w:ind w:right="-31" w:rightChars="-14"/>
        <w:jc w:val="center"/>
        <w:rPr>
          <w:rFonts w:ascii="Times New Roman" w:hAnsi="Times New Roman" w:cs="Times New Roman"/>
          <w:b/>
          <w:bCs/>
          <w:sz w:val="28"/>
          <w:szCs w:val="28"/>
          <w:lang w:eastAsia="zh-CN"/>
        </w:rPr>
      </w:pPr>
      <w:r>
        <w:rPr>
          <w:rFonts w:ascii="Times New Roman" w:cs="Times New Roman" w:hAnsiTheme="minorEastAsia"/>
          <w:b/>
          <w:bCs/>
          <w:sz w:val="28"/>
          <w:szCs w:val="28"/>
          <w:lang w:eastAsia="zh-CN"/>
        </w:rPr>
        <w:t>更改控制页</w:t>
      </w:r>
    </w:p>
    <w:tbl>
      <w:tblPr>
        <w:tblStyle w:val="32"/>
        <w:tblW w:w="9684" w:type="dxa"/>
        <w:tblInd w:w="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44"/>
        <w:gridCol w:w="1500"/>
        <w:gridCol w:w="4080"/>
        <w:gridCol w:w="1428"/>
        <w:gridCol w:w="1632"/>
      </w:tblGrid>
      <w:tr w14:paraId="6184B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5" w:hRule="atLeast"/>
        </w:trPr>
        <w:tc>
          <w:tcPr>
            <w:tcW w:w="1044" w:type="dxa"/>
            <w:tcBorders>
              <w:top w:val="inset" w:color="auto" w:sz="6" w:space="0"/>
              <w:left w:val="inset" w:color="auto" w:sz="6" w:space="0"/>
              <w:right w:val="inset" w:color="auto" w:sz="6" w:space="0"/>
            </w:tcBorders>
            <w:vAlign w:val="center"/>
          </w:tcPr>
          <w:p w14:paraId="7745E107">
            <w:pPr>
              <w:spacing w:beforeLines="50"/>
              <w:jc w:val="center"/>
              <w:rPr>
                <w:rFonts w:ascii="Times New Roman" w:hAnsi="Times New Roman" w:cs="Times New Roman"/>
                <w:sz w:val="24"/>
                <w:szCs w:val="24"/>
              </w:rPr>
            </w:pPr>
            <w:r>
              <w:rPr>
                <w:rFonts w:ascii="Times New Roman" w:cs="Times New Roman" w:hAnsiTheme="minorEastAsia"/>
                <w:sz w:val="24"/>
                <w:szCs w:val="24"/>
              </w:rPr>
              <w:t>版本</w:t>
            </w:r>
          </w:p>
        </w:tc>
        <w:tc>
          <w:tcPr>
            <w:tcW w:w="1500" w:type="dxa"/>
            <w:tcBorders>
              <w:top w:val="inset" w:color="auto" w:sz="6" w:space="0"/>
              <w:left w:val="inset" w:color="auto" w:sz="6" w:space="0"/>
              <w:bottom w:val="single" w:color="auto" w:sz="4" w:space="0"/>
              <w:right w:val="inset" w:color="auto" w:sz="6" w:space="0"/>
            </w:tcBorders>
            <w:vAlign w:val="center"/>
          </w:tcPr>
          <w:p w14:paraId="548D675F">
            <w:pPr>
              <w:spacing w:beforeLines="50"/>
              <w:jc w:val="center"/>
              <w:rPr>
                <w:rFonts w:ascii="Times New Roman" w:hAnsi="Times New Roman" w:cs="Times New Roman"/>
                <w:sz w:val="24"/>
                <w:szCs w:val="24"/>
              </w:rPr>
            </w:pPr>
            <w:r>
              <w:rPr>
                <w:rFonts w:ascii="Times New Roman" w:cs="Times New Roman" w:hAnsiTheme="minorEastAsia"/>
                <w:sz w:val="24"/>
                <w:szCs w:val="24"/>
              </w:rPr>
              <w:t>更改章节</w:t>
            </w:r>
          </w:p>
        </w:tc>
        <w:tc>
          <w:tcPr>
            <w:tcW w:w="4080" w:type="dxa"/>
            <w:tcBorders>
              <w:top w:val="inset" w:color="auto" w:sz="6" w:space="0"/>
              <w:left w:val="inset" w:color="auto" w:sz="6" w:space="0"/>
              <w:bottom w:val="single" w:color="auto" w:sz="4" w:space="0"/>
              <w:right w:val="inset" w:color="auto" w:sz="6" w:space="0"/>
            </w:tcBorders>
            <w:vAlign w:val="center"/>
          </w:tcPr>
          <w:p w14:paraId="062226B9">
            <w:pPr>
              <w:spacing w:beforeLines="50"/>
              <w:ind w:firstLine="1200" w:firstLineChars="500"/>
              <w:rPr>
                <w:rFonts w:ascii="Times New Roman" w:hAnsi="Times New Roman" w:cs="Times New Roman"/>
                <w:sz w:val="24"/>
                <w:szCs w:val="24"/>
              </w:rPr>
            </w:pPr>
            <w:r>
              <w:rPr>
                <w:rFonts w:ascii="Times New Roman" w:cs="Times New Roman" w:hAnsiTheme="minorEastAsia"/>
                <w:sz w:val="24"/>
                <w:szCs w:val="24"/>
              </w:rPr>
              <w:t>主要更改内容</w:t>
            </w:r>
          </w:p>
        </w:tc>
        <w:tc>
          <w:tcPr>
            <w:tcW w:w="1428" w:type="dxa"/>
            <w:tcBorders>
              <w:top w:val="inset" w:color="auto" w:sz="6" w:space="0"/>
              <w:left w:val="inset" w:color="auto" w:sz="6" w:space="0"/>
              <w:right w:val="inset" w:color="auto" w:sz="6" w:space="0"/>
            </w:tcBorders>
            <w:vAlign w:val="center"/>
          </w:tcPr>
          <w:p w14:paraId="140DDA9D">
            <w:pPr>
              <w:spacing w:beforeLines="50"/>
              <w:jc w:val="center"/>
              <w:rPr>
                <w:rFonts w:ascii="Times New Roman" w:hAnsi="Times New Roman" w:cs="Times New Roman"/>
                <w:sz w:val="24"/>
                <w:szCs w:val="24"/>
              </w:rPr>
            </w:pPr>
            <w:r>
              <w:rPr>
                <w:rFonts w:ascii="Times New Roman" w:cs="Times New Roman" w:hAnsiTheme="minorEastAsia"/>
                <w:sz w:val="24"/>
                <w:szCs w:val="24"/>
              </w:rPr>
              <w:t>更改人员</w:t>
            </w:r>
          </w:p>
        </w:tc>
        <w:tc>
          <w:tcPr>
            <w:tcW w:w="1632" w:type="dxa"/>
            <w:tcBorders>
              <w:top w:val="inset" w:color="auto" w:sz="6" w:space="0"/>
              <w:left w:val="inset" w:color="auto" w:sz="6" w:space="0"/>
              <w:right w:val="inset" w:color="auto" w:sz="6" w:space="0"/>
            </w:tcBorders>
            <w:vAlign w:val="center"/>
          </w:tcPr>
          <w:p w14:paraId="39AC8B7A">
            <w:pPr>
              <w:spacing w:beforeLines="50"/>
              <w:jc w:val="center"/>
              <w:rPr>
                <w:rFonts w:ascii="Times New Roman" w:hAnsi="Times New Roman" w:cs="Times New Roman"/>
                <w:sz w:val="24"/>
                <w:szCs w:val="24"/>
              </w:rPr>
            </w:pPr>
            <w:r>
              <w:rPr>
                <w:rFonts w:ascii="Times New Roman" w:cs="Times New Roman" w:hAnsiTheme="minorEastAsia"/>
                <w:sz w:val="24"/>
                <w:szCs w:val="24"/>
              </w:rPr>
              <w:t>更改日期</w:t>
            </w:r>
          </w:p>
        </w:tc>
      </w:tr>
      <w:tr w14:paraId="52186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37" w:hRule="atLeast"/>
        </w:trPr>
        <w:tc>
          <w:tcPr>
            <w:tcW w:w="1044" w:type="dxa"/>
            <w:tcBorders>
              <w:left w:val="inset" w:color="auto" w:sz="6" w:space="0"/>
              <w:right w:val="inset" w:color="auto" w:sz="6" w:space="0"/>
            </w:tcBorders>
            <w:vAlign w:val="center"/>
          </w:tcPr>
          <w:p w14:paraId="336E85BC">
            <w:pPr>
              <w:spacing w:beforeLines="50"/>
              <w:jc w:val="center"/>
              <w:rPr>
                <w:rFonts w:ascii="Times New Roman" w:hAnsi="Times New Roman" w:cs="Times New Roman"/>
                <w:sz w:val="24"/>
                <w:szCs w:val="24"/>
              </w:rPr>
            </w:pPr>
            <w:r>
              <w:rPr>
                <w:rFonts w:hint="eastAsia" w:ascii="Times New Roman" w:hAnsi="Times New Roman" w:cs="Times New Roman"/>
                <w:sz w:val="24"/>
                <w:szCs w:val="24"/>
                <w:lang w:eastAsia="zh-CN"/>
              </w:rPr>
              <w:t>B/0</w:t>
            </w:r>
          </w:p>
        </w:tc>
        <w:tc>
          <w:tcPr>
            <w:tcW w:w="1500" w:type="dxa"/>
            <w:tcBorders>
              <w:left w:val="inset" w:color="auto" w:sz="6" w:space="0"/>
              <w:right w:val="inset" w:color="auto" w:sz="6" w:space="0"/>
            </w:tcBorders>
            <w:vAlign w:val="center"/>
          </w:tcPr>
          <w:p w14:paraId="67775950">
            <w:pPr>
              <w:spacing w:beforeLines="50"/>
              <w:jc w:val="center"/>
              <w:rPr>
                <w:rFonts w:ascii="Times New Roman" w:hAnsi="Times New Roman" w:cs="Times New Roman"/>
                <w:sz w:val="24"/>
                <w:szCs w:val="24"/>
                <w:lang w:eastAsia="zh-CN"/>
              </w:rPr>
            </w:pPr>
            <w:r>
              <w:rPr>
                <w:rFonts w:ascii="Times New Roman" w:hAnsi="Times New Roman" w:cs="Times New Roman"/>
                <w:sz w:val="24"/>
                <w:szCs w:val="24"/>
              </w:rPr>
              <w:t>全部</w:t>
            </w:r>
          </w:p>
        </w:tc>
        <w:tc>
          <w:tcPr>
            <w:tcW w:w="4080" w:type="dxa"/>
            <w:tcBorders>
              <w:left w:val="inset" w:color="auto" w:sz="6" w:space="0"/>
              <w:right w:val="inset" w:color="auto" w:sz="6" w:space="0"/>
            </w:tcBorders>
            <w:vAlign w:val="center"/>
          </w:tcPr>
          <w:p w14:paraId="540B454D">
            <w:pPr>
              <w:spacing w:beforeLines="50"/>
              <w:jc w:val="center"/>
              <w:rPr>
                <w:rFonts w:ascii="Times New Roman" w:hAnsi="Times New Roman" w:cs="Times New Roman"/>
                <w:sz w:val="24"/>
                <w:szCs w:val="24"/>
              </w:rPr>
            </w:pPr>
            <w:r>
              <w:rPr>
                <w:rFonts w:ascii="Times New Roman" w:hAnsi="Times New Roman" w:cs="Times New Roman"/>
                <w:sz w:val="24"/>
                <w:szCs w:val="24"/>
              </w:rPr>
              <w:t>大部分内容</w:t>
            </w:r>
          </w:p>
        </w:tc>
        <w:tc>
          <w:tcPr>
            <w:tcW w:w="1428" w:type="dxa"/>
            <w:tcBorders>
              <w:left w:val="inset" w:color="auto" w:sz="6" w:space="0"/>
              <w:right w:val="inset" w:color="auto" w:sz="6" w:space="0"/>
            </w:tcBorders>
            <w:vAlign w:val="center"/>
          </w:tcPr>
          <w:p w14:paraId="6568A15A">
            <w:pPr>
              <w:spacing w:beforeLines="50"/>
              <w:jc w:val="center"/>
              <w:rPr>
                <w:rFonts w:ascii="Times New Roman" w:hAnsi="Times New Roman" w:cs="Times New Roman"/>
                <w:sz w:val="24"/>
                <w:szCs w:val="24"/>
                <w:lang w:eastAsia="zh-CN"/>
              </w:rPr>
            </w:pPr>
            <w:r>
              <w:rPr>
                <w:rFonts w:ascii="Times New Roman" w:hAnsi="Times New Roman" w:cs="Times New Roman"/>
                <w:sz w:val="24"/>
                <w:szCs w:val="24"/>
                <w:lang w:eastAsia="zh-CN"/>
              </w:rPr>
              <w:t>刘顺桥</w:t>
            </w:r>
          </w:p>
        </w:tc>
        <w:tc>
          <w:tcPr>
            <w:tcW w:w="1632" w:type="dxa"/>
            <w:tcBorders>
              <w:left w:val="inset" w:color="auto" w:sz="6" w:space="0"/>
              <w:right w:val="inset" w:color="auto" w:sz="6" w:space="0"/>
            </w:tcBorders>
            <w:vAlign w:val="center"/>
          </w:tcPr>
          <w:p w14:paraId="02F372D4">
            <w:pPr>
              <w:spacing w:beforeLines="50"/>
              <w:jc w:val="center"/>
              <w:rPr>
                <w:rFonts w:ascii="Times New Roman" w:hAnsi="Times New Roman" w:cs="Times New Roman"/>
                <w:sz w:val="24"/>
                <w:szCs w:val="24"/>
                <w:lang w:eastAsia="zh-CN"/>
              </w:rPr>
            </w:pPr>
            <w:r>
              <w:rPr>
                <w:rFonts w:ascii="Times New Roman" w:hAnsi="Times New Roman" w:cs="Times New Roman"/>
                <w:bCs/>
                <w:sz w:val="24"/>
                <w:szCs w:val="24"/>
                <w:lang w:eastAsia="zh-CN"/>
              </w:rPr>
              <w:t>2025-03-28</w:t>
            </w:r>
          </w:p>
        </w:tc>
      </w:tr>
      <w:tr w14:paraId="2C4FC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37" w:hRule="atLeast"/>
        </w:trPr>
        <w:tc>
          <w:tcPr>
            <w:tcW w:w="1044" w:type="dxa"/>
            <w:tcBorders>
              <w:left w:val="inset" w:color="auto" w:sz="6" w:space="0"/>
              <w:bottom w:val="inset" w:color="auto" w:sz="6" w:space="0"/>
              <w:right w:val="inset" w:color="auto" w:sz="6" w:space="0"/>
            </w:tcBorders>
          </w:tcPr>
          <w:p w14:paraId="138A0F09">
            <w:pPr>
              <w:spacing w:beforeLines="50"/>
              <w:jc w:val="center"/>
              <w:rPr>
                <w:rFonts w:ascii="Times New Roman" w:hAnsi="Times New Roman" w:cs="Times New Roman"/>
                <w:sz w:val="24"/>
                <w:szCs w:val="24"/>
              </w:rPr>
            </w:pPr>
            <w:r>
              <w:rPr>
                <w:rFonts w:ascii="Times New Roman" w:hAnsi="Times New Roman" w:cs="Times New Roman"/>
                <w:sz w:val="24"/>
                <w:szCs w:val="24"/>
              </w:rPr>
              <w:t>B/1</w:t>
            </w:r>
          </w:p>
        </w:tc>
        <w:tc>
          <w:tcPr>
            <w:tcW w:w="1500" w:type="dxa"/>
            <w:tcBorders>
              <w:left w:val="inset" w:color="auto" w:sz="6" w:space="0"/>
              <w:bottom w:val="inset" w:color="auto" w:sz="6" w:space="0"/>
              <w:right w:val="inset" w:color="auto" w:sz="6" w:space="0"/>
            </w:tcBorders>
          </w:tcPr>
          <w:p w14:paraId="3021ECF9">
            <w:pPr>
              <w:pStyle w:val="99"/>
              <w:spacing w:beforeLines="50"/>
              <w:jc w:val="center"/>
              <w:rPr>
                <w:rFonts w:ascii="Times New Roman" w:hAnsi="Times New Roman" w:cs="Times New Roman" w:eastAsiaTheme="minorEastAsia"/>
                <w:snapToGrid/>
                <w:color w:val="auto"/>
                <w:lang w:bidi="en-US"/>
              </w:rPr>
            </w:pPr>
            <w:r>
              <w:rPr>
                <w:rFonts w:ascii="Times New Roman" w:hAnsi="Times New Roman" w:cs="Times New Roman" w:eastAsiaTheme="minorEastAsia"/>
                <w:snapToGrid/>
                <w:color w:val="auto"/>
                <w:lang w:bidi="en-US"/>
              </w:rPr>
              <w:t>全部</w:t>
            </w:r>
          </w:p>
        </w:tc>
        <w:tc>
          <w:tcPr>
            <w:tcW w:w="4080" w:type="dxa"/>
            <w:tcBorders>
              <w:left w:val="inset" w:color="auto" w:sz="6" w:space="0"/>
              <w:bottom w:val="inset" w:color="auto" w:sz="6" w:space="0"/>
              <w:right w:val="inset" w:color="auto" w:sz="6" w:space="0"/>
            </w:tcBorders>
          </w:tcPr>
          <w:p w14:paraId="3D81FB39">
            <w:pPr>
              <w:pStyle w:val="99"/>
              <w:spacing w:beforeLines="50"/>
              <w:jc w:val="center"/>
              <w:rPr>
                <w:rFonts w:ascii="Times New Roman" w:hAnsi="Times New Roman" w:cs="Times New Roman" w:eastAsiaTheme="minorEastAsia"/>
                <w:snapToGrid/>
                <w:color w:val="auto"/>
                <w:lang w:bidi="en-US"/>
              </w:rPr>
            </w:pPr>
            <w:r>
              <w:rPr>
                <w:rFonts w:ascii="Times New Roman" w:hAnsi="Times New Roman" w:cs="Times New Roman" w:eastAsiaTheme="minorEastAsia"/>
                <w:snapToGrid/>
                <w:color w:val="auto"/>
                <w:lang w:bidi="en-US"/>
              </w:rPr>
              <w:t>大部分内容</w:t>
            </w:r>
          </w:p>
        </w:tc>
        <w:tc>
          <w:tcPr>
            <w:tcW w:w="1428" w:type="dxa"/>
            <w:tcBorders>
              <w:left w:val="inset" w:color="auto" w:sz="6" w:space="0"/>
              <w:bottom w:val="inset" w:color="auto" w:sz="6" w:space="0"/>
              <w:right w:val="inset" w:color="auto" w:sz="6" w:space="0"/>
            </w:tcBorders>
          </w:tcPr>
          <w:p w14:paraId="216EB3C3">
            <w:pPr>
              <w:pStyle w:val="99"/>
              <w:spacing w:beforeLines="50"/>
              <w:jc w:val="center"/>
              <w:rPr>
                <w:rFonts w:ascii="Times New Roman" w:hAnsi="Times New Roman" w:cs="Times New Roman" w:eastAsiaTheme="minorEastAsia"/>
                <w:snapToGrid/>
                <w:color w:val="auto"/>
                <w:lang w:bidi="en-US"/>
              </w:rPr>
            </w:pPr>
            <w:r>
              <w:rPr>
                <w:rFonts w:ascii="Times New Roman" w:hAnsi="Times New Roman" w:cs="Times New Roman" w:eastAsiaTheme="minorEastAsia"/>
                <w:snapToGrid/>
                <w:color w:val="auto"/>
                <w:lang w:bidi="en-US"/>
              </w:rPr>
              <w:t>刘顺桥</w:t>
            </w:r>
          </w:p>
        </w:tc>
        <w:tc>
          <w:tcPr>
            <w:tcW w:w="1632" w:type="dxa"/>
            <w:tcBorders>
              <w:left w:val="inset" w:color="auto" w:sz="6" w:space="0"/>
              <w:bottom w:val="inset" w:color="auto" w:sz="6" w:space="0"/>
              <w:right w:val="inset" w:color="auto" w:sz="6" w:space="0"/>
            </w:tcBorders>
          </w:tcPr>
          <w:p w14:paraId="1E14A44F">
            <w:pPr>
              <w:spacing w:beforeLines="50"/>
              <w:jc w:val="center"/>
              <w:rPr>
                <w:rFonts w:ascii="Times New Roman" w:hAnsi="Times New Roman" w:cs="Times New Roman"/>
                <w:sz w:val="24"/>
                <w:szCs w:val="24"/>
              </w:rPr>
            </w:pPr>
            <w:r>
              <w:rPr>
                <w:rFonts w:ascii="Times New Roman" w:hAnsi="Times New Roman" w:cs="Times New Roman"/>
                <w:sz w:val="24"/>
                <w:szCs w:val="24"/>
              </w:rPr>
              <w:t>2025-08-18</w:t>
            </w:r>
          </w:p>
        </w:tc>
      </w:tr>
      <w:tr w14:paraId="58FBD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37" w:hRule="atLeast"/>
        </w:trPr>
        <w:tc>
          <w:tcPr>
            <w:tcW w:w="1044" w:type="dxa"/>
            <w:tcBorders>
              <w:left w:val="inset" w:color="auto" w:sz="6" w:space="0"/>
              <w:bottom w:val="inset" w:color="auto" w:sz="6" w:space="0"/>
              <w:right w:val="inset" w:color="auto" w:sz="6" w:space="0"/>
            </w:tcBorders>
            <w:vAlign w:val="center"/>
          </w:tcPr>
          <w:p w14:paraId="609A8B71">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C/0</w:t>
            </w:r>
          </w:p>
        </w:tc>
        <w:tc>
          <w:tcPr>
            <w:tcW w:w="1500" w:type="dxa"/>
            <w:tcBorders>
              <w:left w:val="inset" w:color="auto" w:sz="6" w:space="0"/>
              <w:bottom w:val="inset" w:color="auto" w:sz="6" w:space="0"/>
              <w:right w:val="inset" w:color="auto" w:sz="6" w:space="0"/>
            </w:tcBorders>
            <w:vAlign w:val="center"/>
          </w:tcPr>
          <w:p w14:paraId="5350DA55">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全部</w:t>
            </w:r>
          </w:p>
        </w:tc>
        <w:tc>
          <w:tcPr>
            <w:tcW w:w="4080" w:type="dxa"/>
            <w:tcBorders>
              <w:left w:val="inset" w:color="auto" w:sz="6" w:space="0"/>
              <w:bottom w:val="inset" w:color="auto" w:sz="6" w:space="0"/>
              <w:right w:val="inset" w:color="auto" w:sz="6" w:space="0"/>
            </w:tcBorders>
            <w:vAlign w:val="center"/>
          </w:tcPr>
          <w:p w14:paraId="499D2A6B">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依新版《质量管理体系认证规则》进行全文修改</w:t>
            </w:r>
          </w:p>
        </w:tc>
        <w:tc>
          <w:tcPr>
            <w:tcW w:w="1428" w:type="dxa"/>
            <w:tcBorders>
              <w:left w:val="inset" w:color="auto" w:sz="6" w:space="0"/>
              <w:bottom w:val="inset" w:color="auto" w:sz="6" w:space="0"/>
              <w:right w:val="inset" w:color="auto" w:sz="6" w:space="0"/>
            </w:tcBorders>
            <w:vAlign w:val="center"/>
          </w:tcPr>
          <w:p w14:paraId="0C2B662A">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刘顺桥</w:t>
            </w:r>
          </w:p>
        </w:tc>
        <w:tc>
          <w:tcPr>
            <w:tcW w:w="1632" w:type="dxa"/>
            <w:tcBorders>
              <w:left w:val="inset" w:color="auto" w:sz="6" w:space="0"/>
              <w:bottom w:val="inset" w:color="auto" w:sz="6" w:space="0"/>
              <w:right w:val="inset" w:color="auto" w:sz="6" w:space="0"/>
            </w:tcBorders>
            <w:vAlign w:val="center"/>
          </w:tcPr>
          <w:p w14:paraId="69E99755">
            <w:pPr>
              <w:spacing w:beforeLines="50"/>
              <w:jc w:val="center"/>
              <w:rPr>
                <w:rFonts w:ascii="Times New Roman" w:hAnsi="Times New Roman" w:cs="Times New Roman"/>
                <w:bCs/>
                <w:sz w:val="24"/>
                <w:szCs w:val="24"/>
                <w:lang w:eastAsia="zh-CN"/>
              </w:rPr>
            </w:pPr>
            <w:r>
              <w:rPr>
                <w:rFonts w:hint="eastAsia" w:ascii="Times New Roman" w:hAnsi="Times New Roman" w:cs="Times New Roman"/>
                <w:bCs/>
                <w:sz w:val="24"/>
                <w:szCs w:val="24"/>
                <w:lang w:eastAsia="zh-CN"/>
              </w:rPr>
              <w:t>2026-04-08</w:t>
            </w:r>
          </w:p>
        </w:tc>
      </w:tr>
    </w:tbl>
    <w:p w14:paraId="34E94909">
      <w:pPr>
        <w:spacing w:line="460" w:lineRule="exact"/>
        <w:ind w:right="-31" w:rightChars="-14"/>
        <w:rPr>
          <w:b/>
          <w:bCs/>
          <w:sz w:val="32"/>
          <w:szCs w:val="32"/>
          <w:lang w:eastAsia="zh-CN"/>
        </w:rPr>
      </w:pPr>
    </w:p>
    <w:p w14:paraId="616F6A1C">
      <w:pPr>
        <w:jc w:val="both"/>
        <w:rPr>
          <w:rFonts w:asciiTheme="minorEastAsia" w:hAnsiTheme="minorEastAsia"/>
          <w:sz w:val="21"/>
          <w:szCs w:val="21"/>
          <w:lang w:eastAsia="zh-CN"/>
        </w:rPr>
      </w:pPr>
    </w:p>
    <w:sectPr>
      <w:headerReference r:id="rId6" w:type="first"/>
      <w:headerReference r:id="rId4" w:type="default"/>
      <w:headerReference r:id="rId5" w:type="even"/>
      <w:pgSz w:w="11906" w:h="16838"/>
      <w:pgMar w:top="1134" w:right="1020" w:bottom="567" w:left="102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方正粗宋_GBK">
    <w:altName w:val="宋体"/>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2"/>
      <w:tblW w:w="9900"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814"/>
      <w:gridCol w:w="5105"/>
      <w:gridCol w:w="2981"/>
    </w:tblGrid>
    <w:tr w14:paraId="6EE44A0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5" w:hRule="atLeast"/>
      </w:trPr>
      <w:tc>
        <w:tcPr>
          <w:tcW w:w="1644" w:type="dxa"/>
          <w:vMerge w:val="restart"/>
          <w:vAlign w:val="center"/>
        </w:tcPr>
        <w:p w14:paraId="38F34EEA">
          <w:pPr>
            <w:jc w:val="center"/>
            <w:rPr>
              <w:rFonts w:ascii="华文中宋" w:hAnsi="华文中宋" w:eastAsia="华文中宋"/>
              <w:b/>
              <w:bCs/>
              <w:sz w:val="28"/>
              <w:szCs w:val="28"/>
            </w:rPr>
          </w:pPr>
          <w:r>
            <w:rPr>
              <w:lang w:eastAsia="zh-CN" w:bidi="ar-SA"/>
            </w:rPr>
            <w:pict>
              <v:shape id="WordPictureWatermark31155850" o:spid="_x0000_s106499" o:spt="75" type="#_x0000_t75" style="position:absolute;left:0pt;height:348.3pt;width:493.25pt;mso-position-horizontal:center;mso-position-horizontal-relative:margin;mso-position-vertical:center;mso-position-vertical-relative:margin;z-index:-251646976;mso-width-relative:page;mso-height-relative:page;" filled="f" o:preferrelative="t" stroked="f" coordsize="21600,21600" o:allowincell="f">
                <v:path/>
                <v:fill on="f" focussize="0,0"/>
                <v:stroke on="f" joinstyle="miter"/>
                <v:imagedata r:id="rId1" gain="19661f" blacklevel="22938f" o:title="S&amp;P"/>
                <o:lock v:ext="edit" aspectratio="t"/>
              </v:shape>
            </w:pict>
          </w:r>
          <w:r>
            <w:rPr>
              <w:lang w:eastAsia="zh-CN" w:bidi="ar-SA"/>
            </w:rPr>
            <w:drawing>
              <wp:inline distT="0" distB="0" distL="0" distR="0">
                <wp:extent cx="995680" cy="701675"/>
                <wp:effectExtent l="19050" t="0" r="0" b="0"/>
                <wp:docPr id="6" name="图片 3" descr="F:\01 各认证机构资料\06 标普认证\证书\胡国明发来样板\S&am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F:\01 各认证机构资料\06 标普认证\证书\胡国明发来样板\S&amp;P.jpg"/>
                        <pic:cNvPicPr>
                          <a:picLocks noChangeAspect="1" noChangeArrowheads="1"/>
                        </pic:cNvPicPr>
                      </pic:nvPicPr>
                      <pic:blipFill>
                        <a:blip r:embed="rId1"/>
                        <a:srcRect/>
                        <a:stretch>
                          <a:fillRect/>
                        </a:stretch>
                      </pic:blipFill>
                      <pic:spPr>
                        <a:xfrm>
                          <a:off x="0" y="0"/>
                          <a:ext cx="1002056" cy="705965"/>
                        </a:xfrm>
                        <a:prstGeom prst="rect">
                          <a:avLst/>
                        </a:prstGeom>
                        <a:noFill/>
                        <a:ln w="9525">
                          <a:noFill/>
                          <a:miter lim="800000"/>
                          <a:headEnd/>
                          <a:tailEnd/>
                        </a:ln>
                      </pic:spPr>
                    </pic:pic>
                  </a:graphicData>
                </a:graphic>
              </wp:inline>
            </w:drawing>
          </w:r>
        </w:p>
      </w:tc>
      <w:tc>
        <w:tcPr>
          <w:tcW w:w="5203" w:type="dxa"/>
          <w:vAlign w:val="center"/>
        </w:tcPr>
        <w:sdt>
          <w:sdtPr>
            <w:rPr>
              <w:rFonts w:hint="eastAsia" w:ascii="黑体" w:hAnsi="黑体" w:eastAsia="黑体"/>
              <w:color w:val="000000" w:themeColor="text1"/>
              <w:sz w:val="24"/>
              <w:szCs w:val="24"/>
              <w:lang w:eastAsia="zh-CN"/>
            </w:rPr>
            <w:alias w:val="标题"/>
            <w:id w:val="147481592"/>
            <w:dataBinding w:prefixMappings="xmlns:ns0='http://schemas.openxmlformats.org/package/2006/metadata/core-properties' xmlns:ns1='http://purl.org/dc/elements/1.1/'" w:xpath="/ns0:coreProperties[1]/ns1:title[1]" w:storeItemID="{6C3C8BC8-F283-45AE-878A-BAB7291924A1}"/>
            <w:text/>
          </w:sdtPr>
          <w:sdtEndPr>
            <w:rPr>
              <w:rFonts w:hint="eastAsia" w:ascii="黑体" w:hAnsi="黑体" w:eastAsia="黑体"/>
              <w:color w:val="000000" w:themeColor="text1"/>
              <w:sz w:val="24"/>
              <w:szCs w:val="24"/>
              <w:lang w:eastAsia="zh-CN"/>
            </w:rPr>
          </w:sdtEndPr>
          <w:sdtContent>
            <w:p w14:paraId="520C213B">
              <w:pPr>
                <w:spacing w:after="0"/>
                <w:jc w:val="center"/>
                <w:rPr>
                  <w:rFonts w:ascii="黑体" w:hAnsi="黑体" w:eastAsia="黑体"/>
                  <w:color w:val="000000" w:themeColor="text1"/>
                  <w:sz w:val="36"/>
                  <w:szCs w:val="36"/>
                  <w:lang w:eastAsia="zh-CN"/>
                </w:rPr>
              </w:pPr>
              <w:r>
                <w:rPr>
                  <w:rFonts w:hint="eastAsia" w:ascii="黑体" w:hAnsi="黑体" w:eastAsia="黑体"/>
                  <w:color w:val="000000" w:themeColor="text1"/>
                  <w:sz w:val="24"/>
                  <w:szCs w:val="24"/>
                  <w:lang w:eastAsia="zh-CN"/>
                </w:rPr>
                <w:t>企业诚信管理体系认证实施规则</w:t>
              </w:r>
            </w:p>
          </w:sdtContent>
        </w:sdt>
      </w:tc>
      <w:tc>
        <w:tcPr>
          <w:tcW w:w="3053" w:type="dxa"/>
          <w:vAlign w:val="center"/>
        </w:tcPr>
        <w:p w14:paraId="7FAAF494">
          <w:pPr>
            <w:spacing w:after="0"/>
            <w:jc w:val="center"/>
            <w:rPr>
              <w:rFonts w:ascii="黑体" w:hAnsi="黑体" w:eastAsia="黑体"/>
              <w:spacing w:val="-12"/>
              <w:sz w:val="24"/>
              <w:szCs w:val="24"/>
              <w:lang w:eastAsia="zh-CN"/>
            </w:rPr>
          </w:pPr>
          <w:r>
            <w:rPr>
              <w:rFonts w:hint="eastAsia" w:ascii="黑体" w:hAnsi="黑体" w:eastAsia="黑体"/>
              <w:color w:val="000000"/>
              <w:spacing w:val="-20"/>
              <w:sz w:val="24"/>
              <w:szCs w:val="24"/>
            </w:rPr>
            <w:t xml:space="preserve">版   </w:t>
          </w:r>
          <w:r>
            <w:rPr>
              <w:rFonts w:hint="eastAsia" w:ascii="黑体" w:hAnsi="黑体" w:eastAsia="黑体"/>
              <w:spacing w:val="-12"/>
              <w:sz w:val="24"/>
              <w:szCs w:val="24"/>
            </w:rPr>
            <w:t>本：</w:t>
          </w:r>
          <w:r>
            <w:rPr>
              <w:rFonts w:hint="eastAsia" w:ascii="Times New Roman" w:hAnsi="Times New Roman" w:eastAsia="黑体" w:cs="Times New Roman"/>
              <w:spacing w:val="-12"/>
              <w:sz w:val="24"/>
              <w:szCs w:val="24"/>
              <w:lang w:eastAsia="zh-CN"/>
            </w:rPr>
            <w:t>C</w:t>
          </w:r>
          <w:r>
            <w:rPr>
              <w:rFonts w:ascii="Times New Roman" w:hAnsi="Times New Roman" w:eastAsia="黑体" w:cs="Times New Roman"/>
              <w:spacing w:val="-12"/>
              <w:sz w:val="24"/>
              <w:szCs w:val="24"/>
              <w:lang w:eastAsia="zh-CN"/>
            </w:rPr>
            <w:t>/0</w:t>
          </w:r>
        </w:p>
      </w:tc>
    </w:tr>
    <w:tr w14:paraId="17CA4F9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5" w:hRule="atLeast"/>
      </w:trPr>
      <w:tc>
        <w:tcPr>
          <w:tcW w:w="1644" w:type="dxa"/>
          <w:vMerge w:val="continue"/>
        </w:tcPr>
        <w:p w14:paraId="4F471759">
          <w:pPr>
            <w:spacing w:line="440" w:lineRule="exact"/>
            <w:jc w:val="center"/>
            <w:rPr>
              <w:rFonts w:eastAsia="楷体_GB2312"/>
              <w:b/>
              <w:bCs/>
              <w:sz w:val="32"/>
              <w:lang w:eastAsia="zh-CN"/>
            </w:rPr>
          </w:pPr>
        </w:p>
      </w:tc>
      <w:tc>
        <w:tcPr>
          <w:tcW w:w="5203" w:type="dxa"/>
          <w:vAlign w:val="center"/>
        </w:tcPr>
        <w:p w14:paraId="43E72F09">
          <w:pPr>
            <w:spacing w:after="0"/>
            <w:jc w:val="center"/>
            <w:rPr>
              <w:rFonts w:ascii="黑体" w:hAnsi="黑体" w:eastAsia="黑体"/>
              <w:bCs/>
              <w:sz w:val="24"/>
              <w:szCs w:val="24"/>
              <w:lang w:eastAsia="zh-CN"/>
            </w:rPr>
          </w:pPr>
          <w:r>
            <w:rPr>
              <w:rFonts w:hint="eastAsia" w:ascii="黑体" w:hAnsi="黑体" w:eastAsia="黑体"/>
              <w:bCs/>
              <w:sz w:val="24"/>
              <w:szCs w:val="24"/>
              <w:lang w:eastAsia="zh-CN"/>
            </w:rPr>
            <w:t>文件编号：</w:t>
          </w:r>
          <w:sdt>
            <w:sdtPr>
              <w:rPr>
                <w:rFonts w:ascii="Times New Roman" w:hAnsi="Times New Roman" w:eastAsia="黑体" w:cs="Times New Roman"/>
                <w:sz w:val="24"/>
                <w:szCs w:val="24"/>
                <w:lang w:eastAsia="zh-CN"/>
              </w:rPr>
              <w:alias w:val="副标题"/>
              <w:id w:val="1925146377"/>
              <w:dataBinding w:prefixMappings="xmlns:ns0='http://schemas.openxmlformats.org/package/2006/metadata/core-properties' xmlns:ns1='http://purl.org/dc/elements/1.1/'" w:xpath="/ns0:coreProperties[1]/ns1:subject[1]" w:storeItemID="{6C3C8BC8-F283-45AE-878A-BAB7291924A1}"/>
              <w:text/>
            </w:sdtPr>
            <w:sdtEndPr>
              <w:rPr>
                <w:rFonts w:ascii="Times New Roman" w:hAnsi="Times New Roman" w:eastAsia="黑体" w:cs="Times New Roman"/>
                <w:sz w:val="24"/>
                <w:szCs w:val="24"/>
                <w:lang w:eastAsia="zh-CN"/>
              </w:rPr>
            </w:sdtEndPr>
            <w:sdtContent>
              <w:r>
                <w:rPr>
                  <w:rFonts w:hint="eastAsia" w:ascii="Times New Roman" w:hAnsi="Times New Roman" w:eastAsia="黑体" w:cs="Times New Roman"/>
                  <w:sz w:val="24"/>
                  <w:szCs w:val="24"/>
                  <w:lang w:eastAsia="zh-CN"/>
                </w:rPr>
                <w:t>S&amp;P-XZ-45-2023</w:t>
              </w:r>
            </w:sdtContent>
          </w:sdt>
        </w:p>
      </w:tc>
      <w:tc>
        <w:tcPr>
          <w:tcW w:w="3053" w:type="dxa"/>
          <w:vAlign w:val="center"/>
        </w:tcPr>
        <w:p w14:paraId="1F05FF0A">
          <w:pPr>
            <w:jc w:val="center"/>
            <w:rPr>
              <w:rFonts w:ascii="Times New Roman" w:hAnsi="Times New Roman" w:cs="Times New Roman"/>
              <w:lang w:eastAsia="zh-CN"/>
            </w:rPr>
          </w:pPr>
          <w:r>
            <w:rPr>
              <w:rFonts w:ascii="Times New Roman" w:hAnsi="黑体" w:eastAsia="黑体" w:cs="Times New Roman"/>
              <w:spacing w:val="-20"/>
              <w:sz w:val="24"/>
              <w:szCs w:val="24"/>
              <w:lang w:eastAsia="zh-CN"/>
            </w:rPr>
            <w:t>第</w:t>
          </w:r>
          <w:r>
            <w:rPr>
              <w:rFonts w:ascii="Times New Roman" w:hAnsi="Times New Roman" w:eastAsia="黑体" w:cs="Times New Roman"/>
              <w:spacing w:val="-20"/>
              <w:sz w:val="24"/>
              <w:szCs w:val="24"/>
              <w:lang w:eastAsia="zh-CN"/>
            </w:rPr>
            <w:fldChar w:fldCharType="begin"/>
          </w:r>
          <w:r>
            <w:rPr>
              <w:rFonts w:ascii="Times New Roman" w:hAnsi="Times New Roman" w:eastAsia="黑体" w:cs="Times New Roman"/>
              <w:spacing w:val="-20"/>
              <w:sz w:val="24"/>
              <w:szCs w:val="24"/>
              <w:lang w:eastAsia="zh-CN"/>
            </w:rPr>
            <w:instrText xml:space="preserve"> PAGE   \* MERGEFORMAT </w:instrText>
          </w:r>
          <w:r>
            <w:rPr>
              <w:rFonts w:ascii="Times New Roman" w:hAnsi="Times New Roman" w:eastAsia="黑体" w:cs="Times New Roman"/>
              <w:spacing w:val="-20"/>
              <w:sz w:val="24"/>
              <w:szCs w:val="24"/>
              <w:lang w:eastAsia="zh-CN"/>
            </w:rPr>
            <w:fldChar w:fldCharType="separate"/>
          </w:r>
          <w:r>
            <w:rPr>
              <w:rFonts w:ascii="Times New Roman" w:hAnsi="Times New Roman" w:eastAsia="黑体" w:cs="Times New Roman"/>
              <w:spacing w:val="-20"/>
              <w:sz w:val="24"/>
              <w:szCs w:val="24"/>
              <w:lang w:val="zh-CN" w:eastAsia="zh-CN"/>
            </w:rPr>
            <w:t>2</w:t>
          </w:r>
          <w:r>
            <w:rPr>
              <w:rFonts w:ascii="Times New Roman" w:hAnsi="Times New Roman" w:eastAsia="黑体" w:cs="Times New Roman"/>
              <w:spacing w:val="-20"/>
              <w:sz w:val="24"/>
              <w:szCs w:val="24"/>
              <w:lang w:eastAsia="zh-CN"/>
            </w:rPr>
            <w:fldChar w:fldCharType="end"/>
          </w:r>
          <w:r>
            <w:rPr>
              <w:rFonts w:ascii="Times New Roman" w:hAnsi="黑体" w:eastAsia="黑体" w:cs="Times New Roman"/>
              <w:spacing w:val="-20"/>
              <w:sz w:val="24"/>
              <w:szCs w:val="24"/>
              <w:lang w:eastAsia="zh-CN"/>
            </w:rPr>
            <w:t>页</w:t>
          </w:r>
          <w:r>
            <w:rPr>
              <w:rFonts w:ascii="Times New Roman" w:hAnsi="Times New Roman" w:eastAsia="黑体" w:cs="Times New Roman"/>
              <w:spacing w:val="-20"/>
              <w:sz w:val="24"/>
              <w:szCs w:val="24"/>
              <w:lang w:eastAsia="zh-CN"/>
            </w:rPr>
            <w:t xml:space="preserve">    </w:t>
          </w:r>
          <w:r>
            <w:rPr>
              <w:rFonts w:ascii="Times New Roman" w:hAnsi="黑体" w:eastAsia="黑体" w:cs="Times New Roman"/>
              <w:spacing w:val="-20"/>
              <w:sz w:val="24"/>
              <w:szCs w:val="24"/>
              <w:lang w:eastAsia="zh-CN"/>
            </w:rPr>
            <w:t>共</w:t>
          </w:r>
          <w:sdt>
            <w:sdtPr>
              <w:rPr>
                <w:rFonts w:ascii="Times New Roman" w:hAnsi="Times New Roman" w:cs="Times New Roman"/>
                <w:lang w:eastAsia="zh-CN"/>
              </w:rPr>
              <w:id w:val="250395305"/>
              <w:docPartObj>
                <w:docPartGallery w:val="AutoText"/>
              </w:docPartObj>
            </w:sdtPr>
            <w:sdtEndPr>
              <w:rPr>
                <w:rFonts w:ascii="Times New Roman" w:hAnsi="Times New Roman" w:cs="Times New Roman"/>
                <w:lang w:eastAsia="zh-CN"/>
              </w:rPr>
            </w:sdtEndPr>
            <w:sdtContent>
              <w:r>
                <w:rPr>
                  <w:rFonts w:ascii="Times New Roman" w:hAnsi="Times New Roman" w:cs="Times New Roman"/>
                  <w:lang w:val="zh-CN" w:eastAsia="zh-CN"/>
                </w:rPr>
                <w:t xml:space="preserve"> </w:t>
              </w:r>
              <w:r>
                <w:rPr>
                  <w:rFonts w:ascii="Times New Roman" w:hAnsi="Times New Roman" w:cs="Times New Roman"/>
                  <w:lang w:eastAsia="zh-CN"/>
                </w:rPr>
                <w:fldChar w:fldCharType="begin"/>
              </w:r>
              <w:r>
                <w:rPr>
                  <w:rFonts w:ascii="Times New Roman" w:hAnsi="Times New Roman" w:cs="Times New Roman"/>
                  <w:lang w:eastAsia="zh-CN"/>
                </w:rPr>
                <w:instrText xml:space="preserve"> NUMPAGES  </w:instrText>
              </w:r>
              <w:r>
                <w:rPr>
                  <w:rFonts w:ascii="Times New Roman" w:hAnsi="Times New Roman" w:cs="Times New Roman"/>
                  <w:lang w:eastAsia="zh-CN"/>
                </w:rPr>
                <w:fldChar w:fldCharType="separate"/>
              </w:r>
              <w:r>
                <w:rPr>
                  <w:rFonts w:ascii="Times New Roman" w:hAnsi="Times New Roman" w:cs="Times New Roman"/>
                  <w:lang w:eastAsia="zh-CN"/>
                </w:rPr>
                <w:t>24</w:t>
              </w:r>
              <w:r>
                <w:rPr>
                  <w:rFonts w:ascii="Times New Roman" w:hAnsi="Times New Roman" w:cs="Times New Roman"/>
                  <w:lang w:eastAsia="zh-CN"/>
                </w:rPr>
                <w:fldChar w:fldCharType="end"/>
              </w:r>
            </w:sdtContent>
          </w:sdt>
          <w:r>
            <w:rPr>
              <w:rFonts w:ascii="Times New Roman" w:hAnsi="黑体" w:eastAsia="黑体" w:cs="Times New Roman"/>
              <w:spacing w:val="-20"/>
              <w:sz w:val="24"/>
              <w:szCs w:val="24"/>
              <w:lang w:eastAsia="zh-CN"/>
            </w:rPr>
            <w:t>页</w:t>
          </w:r>
        </w:p>
      </w:tc>
    </w:tr>
  </w:tbl>
  <w:p w14:paraId="38A931FD">
    <w:pPr>
      <w:pStyle w:val="22"/>
      <w:pBdr>
        <w:bottom w:val="single" w:color="auto" w:sz="6" w:space="4"/>
      </w:pBdr>
      <w:ind w:firstLine="1170" w:firstLineChars="65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8CF17">
    <w:pPr>
      <w:pStyle w:val="22"/>
    </w:pPr>
    <w:r>
      <w:rPr>
        <w:lang w:bidi="ar-SA"/>
      </w:rPr>
      <w:pict>
        <v:shape id="WordPictureWatermark31155849" o:spid="_x0000_s106498" o:spt="75" type="#_x0000_t75" style="position:absolute;left:0pt;height:348.3pt;width:493.25pt;mso-position-horizontal:center;mso-position-horizontal-relative:margin;mso-position-vertical:center;mso-position-vertical-relative:margin;z-index:-251648000;mso-width-relative:page;mso-height-relative:page;" filled="f" o:preferrelative="t" stroked="f" coordsize="21600,21600" o:allowincell="f">
          <v:path/>
          <v:fill on="f" focussize="0,0"/>
          <v:stroke on="f" joinstyle="miter"/>
          <v:imagedata r:id="rId1" gain="19661f" blacklevel="22938f" o:title="S&amp;P"/>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77D118">
    <w:pPr>
      <w:pStyle w:val="22"/>
    </w:pPr>
    <w:r>
      <w:rPr>
        <w:lang w:bidi="ar-SA"/>
      </w:rPr>
      <w:pict>
        <v:shape id="WordPictureWatermark31155848" o:spid="_x0000_s106497" o:spt="75" type="#_x0000_t75" style="position:absolute;left:0pt;height:348.3pt;width:493.25pt;mso-position-horizontal:center;mso-position-horizontal-relative:margin;mso-position-vertical:center;mso-position-vertical-relative:margin;z-index:-251649024;mso-width-relative:page;mso-height-relative:page;" filled="f" o:preferrelative="t" stroked="f" coordsize="21600,21600" o:allowincell="f">
          <v:path/>
          <v:fill on="f" focussize="0,0"/>
          <v:stroke on="f" joinstyle="miter"/>
          <v:imagedata r:id="rId1" gain="19661f" blacklevel="22938f" o:title="S&amp;P"/>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104"/>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cwODYyZWNmODE4ODk0YmY0ZGU4Y2M2ODY2YzQ5OTEifQ=="/>
  </w:docVars>
  <w:rsids>
    <w:rsidRoot w:val="00A82FA2"/>
    <w:rsid w:val="00000885"/>
    <w:rsid w:val="00005C17"/>
    <w:rsid w:val="00014C74"/>
    <w:rsid w:val="00015F28"/>
    <w:rsid w:val="00034414"/>
    <w:rsid w:val="00044DD0"/>
    <w:rsid w:val="0006520E"/>
    <w:rsid w:val="00067246"/>
    <w:rsid w:val="00073EF1"/>
    <w:rsid w:val="0007487E"/>
    <w:rsid w:val="000772F0"/>
    <w:rsid w:val="00082518"/>
    <w:rsid w:val="00082CC0"/>
    <w:rsid w:val="00082F85"/>
    <w:rsid w:val="00084B2A"/>
    <w:rsid w:val="00087682"/>
    <w:rsid w:val="00096801"/>
    <w:rsid w:val="00097B87"/>
    <w:rsid w:val="000A2AE2"/>
    <w:rsid w:val="000A45FE"/>
    <w:rsid w:val="000A5A2A"/>
    <w:rsid w:val="000B03A6"/>
    <w:rsid w:val="000B17EA"/>
    <w:rsid w:val="000B4E8D"/>
    <w:rsid w:val="000C2189"/>
    <w:rsid w:val="000D06CD"/>
    <w:rsid w:val="000D5765"/>
    <w:rsid w:val="000E022D"/>
    <w:rsid w:val="000E5E24"/>
    <w:rsid w:val="000F09A1"/>
    <w:rsid w:val="000F3CE0"/>
    <w:rsid w:val="000F5705"/>
    <w:rsid w:val="0010044C"/>
    <w:rsid w:val="001028D5"/>
    <w:rsid w:val="00105A23"/>
    <w:rsid w:val="00105EB9"/>
    <w:rsid w:val="00112F84"/>
    <w:rsid w:val="0011760F"/>
    <w:rsid w:val="00123501"/>
    <w:rsid w:val="001238D3"/>
    <w:rsid w:val="001254F7"/>
    <w:rsid w:val="00125BE6"/>
    <w:rsid w:val="001278F0"/>
    <w:rsid w:val="0013211A"/>
    <w:rsid w:val="001342D5"/>
    <w:rsid w:val="00135860"/>
    <w:rsid w:val="00140286"/>
    <w:rsid w:val="00142D76"/>
    <w:rsid w:val="0014389D"/>
    <w:rsid w:val="001442CF"/>
    <w:rsid w:val="00146FEE"/>
    <w:rsid w:val="001471C5"/>
    <w:rsid w:val="00154646"/>
    <w:rsid w:val="00156B9C"/>
    <w:rsid w:val="001619D9"/>
    <w:rsid w:val="00166738"/>
    <w:rsid w:val="00171B11"/>
    <w:rsid w:val="0017688D"/>
    <w:rsid w:val="00177671"/>
    <w:rsid w:val="00182A05"/>
    <w:rsid w:val="001841F4"/>
    <w:rsid w:val="00184241"/>
    <w:rsid w:val="00186735"/>
    <w:rsid w:val="001928CB"/>
    <w:rsid w:val="0019468C"/>
    <w:rsid w:val="00196A72"/>
    <w:rsid w:val="001A019C"/>
    <w:rsid w:val="001A43C5"/>
    <w:rsid w:val="001A4C90"/>
    <w:rsid w:val="001A7633"/>
    <w:rsid w:val="001D3E31"/>
    <w:rsid w:val="001D4862"/>
    <w:rsid w:val="001D4988"/>
    <w:rsid w:val="001D793E"/>
    <w:rsid w:val="0020123C"/>
    <w:rsid w:val="0020404F"/>
    <w:rsid w:val="00211D80"/>
    <w:rsid w:val="002121A4"/>
    <w:rsid w:val="002132AE"/>
    <w:rsid w:val="0021406D"/>
    <w:rsid w:val="0021445D"/>
    <w:rsid w:val="0022026B"/>
    <w:rsid w:val="00224227"/>
    <w:rsid w:val="0022536A"/>
    <w:rsid w:val="00226AD1"/>
    <w:rsid w:val="002279BF"/>
    <w:rsid w:val="00231BA1"/>
    <w:rsid w:val="00234E2A"/>
    <w:rsid w:val="00250801"/>
    <w:rsid w:val="002522AC"/>
    <w:rsid w:val="002523A5"/>
    <w:rsid w:val="00252A8C"/>
    <w:rsid w:val="002553F6"/>
    <w:rsid w:val="002601DC"/>
    <w:rsid w:val="002618C4"/>
    <w:rsid w:val="00262125"/>
    <w:rsid w:val="002625D1"/>
    <w:rsid w:val="00264ED5"/>
    <w:rsid w:val="00274931"/>
    <w:rsid w:val="00276457"/>
    <w:rsid w:val="0027781C"/>
    <w:rsid w:val="00290484"/>
    <w:rsid w:val="0029194B"/>
    <w:rsid w:val="00294A5B"/>
    <w:rsid w:val="002959F7"/>
    <w:rsid w:val="002A3BAB"/>
    <w:rsid w:val="002B3414"/>
    <w:rsid w:val="002C62ED"/>
    <w:rsid w:val="002D008F"/>
    <w:rsid w:val="002D5AA4"/>
    <w:rsid w:val="002D6A92"/>
    <w:rsid w:val="002D7D92"/>
    <w:rsid w:val="002E57AA"/>
    <w:rsid w:val="002E6487"/>
    <w:rsid w:val="002E7796"/>
    <w:rsid w:val="00300D09"/>
    <w:rsid w:val="00307FCA"/>
    <w:rsid w:val="00310C5B"/>
    <w:rsid w:val="0031212B"/>
    <w:rsid w:val="00313677"/>
    <w:rsid w:val="0031583E"/>
    <w:rsid w:val="00315A15"/>
    <w:rsid w:val="00317F04"/>
    <w:rsid w:val="0032112E"/>
    <w:rsid w:val="00321308"/>
    <w:rsid w:val="00322151"/>
    <w:rsid w:val="00325BDD"/>
    <w:rsid w:val="0033362D"/>
    <w:rsid w:val="00337FD3"/>
    <w:rsid w:val="00341CC6"/>
    <w:rsid w:val="00341CCE"/>
    <w:rsid w:val="00347186"/>
    <w:rsid w:val="003479D8"/>
    <w:rsid w:val="003508ED"/>
    <w:rsid w:val="00353ED0"/>
    <w:rsid w:val="003576EE"/>
    <w:rsid w:val="00367361"/>
    <w:rsid w:val="00372682"/>
    <w:rsid w:val="00373B9E"/>
    <w:rsid w:val="00384983"/>
    <w:rsid w:val="00391389"/>
    <w:rsid w:val="003954BA"/>
    <w:rsid w:val="003A316D"/>
    <w:rsid w:val="003A40B2"/>
    <w:rsid w:val="003B2E3D"/>
    <w:rsid w:val="003C1B7A"/>
    <w:rsid w:val="003C7E5E"/>
    <w:rsid w:val="003E14DB"/>
    <w:rsid w:val="003E1D42"/>
    <w:rsid w:val="003F6C24"/>
    <w:rsid w:val="00410DC8"/>
    <w:rsid w:val="004157B5"/>
    <w:rsid w:val="004215DD"/>
    <w:rsid w:val="00423A28"/>
    <w:rsid w:val="00424346"/>
    <w:rsid w:val="0042455E"/>
    <w:rsid w:val="00424BE8"/>
    <w:rsid w:val="00424DF0"/>
    <w:rsid w:val="00426234"/>
    <w:rsid w:val="00435AC3"/>
    <w:rsid w:val="00437D8E"/>
    <w:rsid w:val="00447624"/>
    <w:rsid w:val="00457A13"/>
    <w:rsid w:val="004603E2"/>
    <w:rsid w:val="00466C44"/>
    <w:rsid w:val="00471C11"/>
    <w:rsid w:val="0047538E"/>
    <w:rsid w:val="00482381"/>
    <w:rsid w:val="00485218"/>
    <w:rsid w:val="00486868"/>
    <w:rsid w:val="004873BC"/>
    <w:rsid w:val="00487BE9"/>
    <w:rsid w:val="004956EA"/>
    <w:rsid w:val="004961E7"/>
    <w:rsid w:val="004A070C"/>
    <w:rsid w:val="004A4026"/>
    <w:rsid w:val="004A5655"/>
    <w:rsid w:val="004A5B54"/>
    <w:rsid w:val="004A60A7"/>
    <w:rsid w:val="004B164B"/>
    <w:rsid w:val="004B25C4"/>
    <w:rsid w:val="004B75A1"/>
    <w:rsid w:val="004C3B50"/>
    <w:rsid w:val="004C7423"/>
    <w:rsid w:val="004D12AB"/>
    <w:rsid w:val="004D3AB3"/>
    <w:rsid w:val="004D7B94"/>
    <w:rsid w:val="004E2B38"/>
    <w:rsid w:val="004F13B3"/>
    <w:rsid w:val="004F1BDE"/>
    <w:rsid w:val="005010D7"/>
    <w:rsid w:val="005024DD"/>
    <w:rsid w:val="00504243"/>
    <w:rsid w:val="005047B2"/>
    <w:rsid w:val="0051039D"/>
    <w:rsid w:val="00510D80"/>
    <w:rsid w:val="00523FBD"/>
    <w:rsid w:val="00527D96"/>
    <w:rsid w:val="005319FB"/>
    <w:rsid w:val="005326E6"/>
    <w:rsid w:val="00532F19"/>
    <w:rsid w:val="0053367C"/>
    <w:rsid w:val="00533898"/>
    <w:rsid w:val="00542FDF"/>
    <w:rsid w:val="005450E1"/>
    <w:rsid w:val="00552347"/>
    <w:rsid w:val="00552D08"/>
    <w:rsid w:val="00557C8C"/>
    <w:rsid w:val="00557EB3"/>
    <w:rsid w:val="005670C6"/>
    <w:rsid w:val="00572C9E"/>
    <w:rsid w:val="0057314E"/>
    <w:rsid w:val="00573527"/>
    <w:rsid w:val="00581163"/>
    <w:rsid w:val="00582381"/>
    <w:rsid w:val="0058659C"/>
    <w:rsid w:val="0059138B"/>
    <w:rsid w:val="00592851"/>
    <w:rsid w:val="00596716"/>
    <w:rsid w:val="005A07A6"/>
    <w:rsid w:val="005A790F"/>
    <w:rsid w:val="005B1512"/>
    <w:rsid w:val="005B4FD0"/>
    <w:rsid w:val="005B69B9"/>
    <w:rsid w:val="005B6E25"/>
    <w:rsid w:val="005C302E"/>
    <w:rsid w:val="005C3DA5"/>
    <w:rsid w:val="005C3F4C"/>
    <w:rsid w:val="005C6664"/>
    <w:rsid w:val="005D18BB"/>
    <w:rsid w:val="005D536D"/>
    <w:rsid w:val="005E1684"/>
    <w:rsid w:val="005E261C"/>
    <w:rsid w:val="005E2654"/>
    <w:rsid w:val="005E354A"/>
    <w:rsid w:val="005E374E"/>
    <w:rsid w:val="005E5797"/>
    <w:rsid w:val="005F113F"/>
    <w:rsid w:val="005F2FDC"/>
    <w:rsid w:val="005F4ECB"/>
    <w:rsid w:val="005F529B"/>
    <w:rsid w:val="00604412"/>
    <w:rsid w:val="00605727"/>
    <w:rsid w:val="006111B9"/>
    <w:rsid w:val="00620D4D"/>
    <w:rsid w:val="00622060"/>
    <w:rsid w:val="00625B42"/>
    <w:rsid w:val="00630B1E"/>
    <w:rsid w:val="0063195F"/>
    <w:rsid w:val="00660161"/>
    <w:rsid w:val="006632CE"/>
    <w:rsid w:val="006835AF"/>
    <w:rsid w:val="00683948"/>
    <w:rsid w:val="00685681"/>
    <w:rsid w:val="00690302"/>
    <w:rsid w:val="0069340F"/>
    <w:rsid w:val="006935CB"/>
    <w:rsid w:val="0069614C"/>
    <w:rsid w:val="0069680D"/>
    <w:rsid w:val="006A1D36"/>
    <w:rsid w:val="006A46FF"/>
    <w:rsid w:val="006A6E86"/>
    <w:rsid w:val="006B10FE"/>
    <w:rsid w:val="006B5783"/>
    <w:rsid w:val="006C0242"/>
    <w:rsid w:val="006C2A75"/>
    <w:rsid w:val="006C60D8"/>
    <w:rsid w:val="006D0478"/>
    <w:rsid w:val="006D1562"/>
    <w:rsid w:val="006D25B6"/>
    <w:rsid w:val="006D3182"/>
    <w:rsid w:val="006E6758"/>
    <w:rsid w:val="006F2412"/>
    <w:rsid w:val="00703A53"/>
    <w:rsid w:val="00706DDA"/>
    <w:rsid w:val="00706EAD"/>
    <w:rsid w:val="00710B52"/>
    <w:rsid w:val="00723DF2"/>
    <w:rsid w:val="00731459"/>
    <w:rsid w:val="00742301"/>
    <w:rsid w:val="00752095"/>
    <w:rsid w:val="007552D2"/>
    <w:rsid w:val="0075656E"/>
    <w:rsid w:val="007568A0"/>
    <w:rsid w:val="00760238"/>
    <w:rsid w:val="007664D2"/>
    <w:rsid w:val="00766AB6"/>
    <w:rsid w:val="007717ED"/>
    <w:rsid w:val="0077410D"/>
    <w:rsid w:val="00782EE8"/>
    <w:rsid w:val="007A2CFD"/>
    <w:rsid w:val="007A3E19"/>
    <w:rsid w:val="007A4D78"/>
    <w:rsid w:val="007A6071"/>
    <w:rsid w:val="007A7918"/>
    <w:rsid w:val="007B28E7"/>
    <w:rsid w:val="007B3D4D"/>
    <w:rsid w:val="007B4A31"/>
    <w:rsid w:val="007B62EF"/>
    <w:rsid w:val="007D114B"/>
    <w:rsid w:val="007D23FD"/>
    <w:rsid w:val="007D6AE3"/>
    <w:rsid w:val="007E4C96"/>
    <w:rsid w:val="007E5594"/>
    <w:rsid w:val="007E5AF8"/>
    <w:rsid w:val="007E6E2B"/>
    <w:rsid w:val="007F1E5B"/>
    <w:rsid w:val="007F5B18"/>
    <w:rsid w:val="00806058"/>
    <w:rsid w:val="008064A7"/>
    <w:rsid w:val="00815A9E"/>
    <w:rsid w:val="0081612D"/>
    <w:rsid w:val="008166B8"/>
    <w:rsid w:val="008217F1"/>
    <w:rsid w:val="008255DE"/>
    <w:rsid w:val="00830423"/>
    <w:rsid w:val="00833F33"/>
    <w:rsid w:val="00834772"/>
    <w:rsid w:val="00846375"/>
    <w:rsid w:val="0084783E"/>
    <w:rsid w:val="00850A66"/>
    <w:rsid w:val="00862EDE"/>
    <w:rsid w:val="00867CF2"/>
    <w:rsid w:val="00874FD5"/>
    <w:rsid w:val="00883453"/>
    <w:rsid w:val="00890671"/>
    <w:rsid w:val="00891C7B"/>
    <w:rsid w:val="008A0E68"/>
    <w:rsid w:val="008A2D63"/>
    <w:rsid w:val="008A6905"/>
    <w:rsid w:val="008B32ED"/>
    <w:rsid w:val="008B4CE4"/>
    <w:rsid w:val="008B63A9"/>
    <w:rsid w:val="008C0434"/>
    <w:rsid w:val="008C22C1"/>
    <w:rsid w:val="008C396B"/>
    <w:rsid w:val="008D11A2"/>
    <w:rsid w:val="008D392D"/>
    <w:rsid w:val="008E73B1"/>
    <w:rsid w:val="008F2B49"/>
    <w:rsid w:val="008F2B9C"/>
    <w:rsid w:val="008F7A7F"/>
    <w:rsid w:val="00912B9E"/>
    <w:rsid w:val="00916A81"/>
    <w:rsid w:val="0092348B"/>
    <w:rsid w:val="00944328"/>
    <w:rsid w:val="00945279"/>
    <w:rsid w:val="00947A66"/>
    <w:rsid w:val="009534FF"/>
    <w:rsid w:val="00956831"/>
    <w:rsid w:val="00961FDE"/>
    <w:rsid w:val="00963430"/>
    <w:rsid w:val="00963C7B"/>
    <w:rsid w:val="009653D1"/>
    <w:rsid w:val="00967846"/>
    <w:rsid w:val="00970C96"/>
    <w:rsid w:val="00975D67"/>
    <w:rsid w:val="009812CA"/>
    <w:rsid w:val="009836F8"/>
    <w:rsid w:val="00984C87"/>
    <w:rsid w:val="00996EEF"/>
    <w:rsid w:val="009A09FE"/>
    <w:rsid w:val="009A1FEB"/>
    <w:rsid w:val="009A4A98"/>
    <w:rsid w:val="009A526D"/>
    <w:rsid w:val="009A5856"/>
    <w:rsid w:val="009A7FAE"/>
    <w:rsid w:val="009C0E66"/>
    <w:rsid w:val="009C0EF7"/>
    <w:rsid w:val="009C19F5"/>
    <w:rsid w:val="009C24E7"/>
    <w:rsid w:val="009C33A8"/>
    <w:rsid w:val="009C4771"/>
    <w:rsid w:val="009C67DC"/>
    <w:rsid w:val="009D0DA7"/>
    <w:rsid w:val="009D5753"/>
    <w:rsid w:val="009D71E9"/>
    <w:rsid w:val="009F6F44"/>
    <w:rsid w:val="00A17329"/>
    <w:rsid w:val="00A17617"/>
    <w:rsid w:val="00A25A3B"/>
    <w:rsid w:val="00A27742"/>
    <w:rsid w:val="00A3557E"/>
    <w:rsid w:val="00A42231"/>
    <w:rsid w:val="00A4403F"/>
    <w:rsid w:val="00A4445F"/>
    <w:rsid w:val="00A4761E"/>
    <w:rsid w:val="00A574CD"/>
    <w:rsid w:val="00A6321C"/>
    <w:rsid w:val="00A66603"/>
    <w:rsid w:val="00A67298"/>
    <w:rsid w:val="00A7317E"/>
    <w:rsid w:val="00A75B49"/>
    <w:rsid w:val="00A761D1"/>
    <w:rsid w:val="00A82FA2"/>
    <w:rsid w:val="00A8671F"/>
    <w:rsid w:val="00AA2E61"/>
    <w:rsid w:val="00AA4FE0"/>
    <w:rsid w:val="00AB1AFD"/>
    <w:rsid w:val="00AC0BBD"/>
    <w:rsid w:val="00AC3F19"/>
    <w:rsid w:val="00AD14E2"/>
    <w:rsid w:val="00AD3153"/>
    <w:rsid w:val="00AD623E"/>
    <w:rsid w:val="00AD7E1B"/>
    <w:rsid w:val="00AE0F6D"/>
    <w:rsid w:val="00AE353F"/>
    <w:rsid w:val="00AE39B8"/>
    <w:rsid w:val="00AE4779"/>
    <w:rsid w:val="00AF03E4"/>
    <w:rsid w:val="00AF224C"/>
    <w:rsid w:val="00AF455C"/>
    <w:rsid w:val="00B01116"/>
    <w:rsid w:val="00B01EA1"/>
    <w:rsid w:val="00B02F3B"/>
    <w:rsid w:val="00B07349"/>
    <w:rsid w:val="00B265C6"/>
    <w:rsid w:val="00B27B4F"/>
    <w:rsid w:val="00B32500"/>
    <w:rsid w:val="00B406C6"/>
    <w:rsid w:val="00B41E94"/>
    <w:rsid w:val="00B45965"/>
    <w:rsid w:val="00B5005B"/>
    <w:rsid w:val="00B5259A"/>
    <w:rsid w:val="00B60A2A"/>
    <w:rsid w:val="00B6374A"/>
    <w:rsid w:val="00B64E45"/>
    <w:rsid w:val="00B72A06"/>
    <w:rsid w:val="00B829A8"/>
    <w:rsid w:val="00B82DE0"/>
    <w:rsid w:val="00B955BC"/>
    <w:rsid w:val="00BA1D5C"/>
    <w:rsid w:val="00BA4FF7"/>
    <w:rsid w:val="00BB272B"/>
    <w:rsid w:val="00BC77FF"/>
    <w:rsid w:val="00BD2C58"/>
    <w:rsid w:val="00BD7639"/>
    <w:rsid w:val="00BE6271"/>
    <w:rsid w:val="00BE6956"/>
    <w:rsid w:val="00BF1F78"/>
    <w:rsid w:val="00C02009"/>
    <w:rsid w:val="00C123BB"/>
    <w:rsid w:val="00C13DBB"/>
    <w:rsid w:val="00C15340"/>
    <w:rsid w:val="00C20276"/>
    <w:rsid w:val="00C22BFF"/>
    <w:rsid w:val="00C27A83"/>
    <w:rsid w:val="00C4226D"/>
    <w:rsid w:val="00C452B5"/>
    <w:rsid w:val="00C459F2"/>
    <w:rsid w:val="00C572C8"/>
    <w:rsid w:val="00C64CBC"/>
    <w:rsid w:val="00C66B5B"/>
    <w:rsid w:val="00C71BA2"/>
    <w:rsid w:val="00C72185"/>
    <w:rsid w:val="00C72C9C"/>
    <w:rsid w:val="00C7504E"/>
    <w:rsid w:val="00C77630"/>
    <w:rsid w:val="00C779A9"/>
    <w:rsid w:val="00C84A87"/>
    <w:rsid w:val="00C86564"/>
    <w:rsid w:val="00C90B3A"/>
    <w:rsid w:val="00C90DEE"/>
    <w:rsid w:val="00C939B9"/>
    <w:rsid w:val="00C97AC4"/>
    <w:rsid w:val="00CA1D7E"/>
    <w:rsid w:val="00CA3139"/>
    <w:rsid w:val="00CA7E3F"/>
    <w:rsid w:val="00CB0C49"/>
    <w:rsid w:val="00CB1716"/>
    <w:rsid w:val="00CB2776"/>
    <w:rsid w:val="00CB56A9"/>
    <w:rsid w:val="00CC0C16"/>
    <w:rsid w:val="00CC4ADE"/>
    <w:rsid w:val="00CD4E32"/>
    <w:rsid w:val="00CD56E3"/>
    <w:rsid w:val="00CD6611"/>
    <w:rsid w:val="00CD75E4"/>
    <w:rsid w:val="00CD7DD0"/>
    <w:rsid w:val="00CE1D41"/>
    <w:rsid w:val="00CE1E35"/>
    <w:rsid w:val="00CE3F32"/>
    <w:rsid w:val="00CF4925"/>
    <w:rsid w:val="00D02054"/>
    <w:rsid w:val="00D03AA4"/>
    <w:rsid w:val="00D041B4"/>
    <w:rsid w:val="00D0767A"/>
    <w:rsid w:val="00D07F51"/>
    <w:rsid w:val="00D130B7"/>
    <w:rsid w:val="00D161BA"/>
    <w:rsid w:val="00D2146F"/>
    <w:rsid w:val="00D43A0E"/>
    <w:rsid w:val="00D4595D"/>
    <w:rsid w:val="00D45BE9"/>
    <w:rsid w:val="00D47B5D"/>
    <w:rsid w:val="00D50CF0"/>
    <w:rsid w:val="00D51EAD"/>
    <w:rsid w:val="00D56860"/>
    <w:rsid w:val="00D6166E"/>
    <w:rsid w:val="00D64355"/>
    <w:rsid w:val="00D70859"/>
    <w:rsid w:val="00D71B06"/>
    <w:rsid w:val="00D71C3D"/>
    <w:rsid w:val="00D739D5"/>
    <w:rsid w:val="00D83AB0"/>
    <w:rsid w:val="00D95867"/>
    <w:rsid w:val="00DA40C0"/>
    <w:rsid w:val="00DA4592"/>
    <w:rsid w:val="00DA799E"/>
    <w:rsid w:val="00DB564D"/>
    <w:rsid w:val="00DB58C4"/>
    <w:rsid w:val="00DB6489"/>
    <w:rsid w:val="00DB6D2D"/>
    <w:rsid w:val="00DB7504"/>
    <w:rsid w:val="00DC22B9"/>
    <w:rsid w:val="00DC551F"/>
    <w:rsid w:val="00DC7C90"/>
    <w:rsid w:val="00DD1148"/>
    <w:rsid w:val="00DD33F6"/>
    <w:rsid w:val="00DD7C64"/>
    <w:rsid w:val="00DE3AD8"/>
    <w:rsid w:val="00DE7E7D"/>
    <w:rsid w:val="00DF30E9"/>
    <w:rsid w:val="00DF7AD0"/>
    <w:rsid w:val="00E069B6"/>
    <w:rsid w:val="00E15658"/>
    <w:rsid w:val="00E209FD"/>
    <w:rsid w:val="00E21C31"/>
    <w:rsid w:val="00E2214E"/>
    <w:rsid w:val="00E24A6C"/>
    <w:rsid w:val="00E25B37"/>
    <w:rsid w:val="00E27562"/>
    <w:rsid w:val="00E305D6"/>
    <w:rsid w:val="00E30B08"/>
    <w:rsid w:val="00E35946"/>
    <w:rsid w:val="00E40648"/>
    <w:rsid w:val="00E440B3"/>
    <w:rsid w:val="00E469B9"/>
    <w:rsid w:val="00E50103"/>
    <w:rsid w:val="00E51BB2"/>
    <w:rsid w:val="00E51F0D"/>
    <w:rsid w:val="00E54DF9"/>
    <w:rsid w:val="00E600D4"/>
    <w:rsid w:val="00E603C7"/>
    <w:rsid w:val="00E848E6"/>
    <w:rsid w:val="00E868C8"/>
    <w:rsid w:val="00E900E5"/>
    <w:rsid w:val="00E90159"/>
    <w:rsid w:val="00E9648B"/>
    <w:rsid w:val="00EA0C89"/>
    <w:rsid w:val="00EB2256"/>
    <w:rsid w:val="00EC148F"/>
    <w:rsid w:val="00EC434A"/>
    <w:rsid w:val="00ED1F06"/>
    <w:rsid w:val="00ED47D3"/>
    <w:rsid w:val="00ED662D"/>
    <w:rsid w:val="00EE25BA"/>
    <w:rsid w:val="00EE3612"/>
    <w:rsid w:val="00EF1BF1"/>
    <w:rsid w:val="00EF6CAD"/>
    <w:rsid w:val="00EF7378"/>
    <w:rsid w:val="00F04122"/>
    <w:rsid w:val="00F04142"/>
    <w:rsid w:val="00F05477"/>
    <w:rsid w:val="00F05557"/>
    <w:rsid w:val="00F12FA0"/>
    <w:rsid w:val="00F20EA3"/>
    <w:rsid w:val="00F23753"/>
    <w:rsid w:val="00F251A0"/>
    <w:rsid w:val="00F2535C"/>
    <w:rsid w:val="00F25ED8"/>
    <w:rsid w:val="00F30FC3"/>
    <w:rsid w:val="00F348A3"/>
    <w:rsid w:val="00F40927"/>
    <w:rsid w:val="00F40D0A"/>
    <w:rsid w:val="00F41D3E"/>
    <w:rsid w:val="00F4519B"/>
    <w:rsid w:val="00F46414"/>
    <w:rsid w:val="00F46B85"/>
    <w:rsid w:val="00F479AA"/>
    <w:rsid w:val="00F50914"/>
    <w:rsid w:val="00F539DA"/>
    <w:rsid w:val="00F5534C"/>
    <w:rsid w:val="00F66664"/>
    <w:rsid w:val="00F71684"/>
    <w:rsid w:val="00F74533"/>
    <w:rsid w:val="00F8136B"/>
    <w:rsid w:val="00F81AE2"/>
    <w:rsid w:val="00F86AC3"/>
    <w:rsid w:val="00F92076"/>
    <w:rsid w:val="00F9591C"/>
    <w:rsid w:val="00F9659C"/>
    <w:rsid w:val="00F9790C"/>
    <w:rsid w:val="00FB182F"/>
    <w:rsid w:val="00FB1A6C"/>
    <w:rsid w:val="00FB710D"/>
    <w:rsid w:val="00FB7D60"/>
    <w:rsid w:val="00FC301D"/>
    <w:rsid w:val="00FC326A"/>
    <w:rsid w:val="00FC3AFD"/>
    <w:rsid w:val="00FC6749"/>
    <w:rsid w:val="00FC7F3B"/>
    <w:rsid w:val="00FD6116"/>
    <w:rsid w:val="00FE340B"/>
    <w:rsid w:val="00FE6B4A"/>
    <w:rsid w:val="00FF2AD3"/>
    <w:rsid w:val="00FF31E8"/>
    <w:rsid w:val="00FF4617"/>
    <w:rsid w:val="010C0502"/>
    <w:rsid w:val="01303AC5"/>
    <w:rsid w:val="014A2DD9"/>
    <w:rsid w:val="017D4F5C"/>
    <w:rsid w:val="01C963F3"/>
    <w:rsid w:val="01F62F61"/>
    <w:rsid w:val="01FB0577"/>
    <w:rsid w:val="026B74AB"/>
    <w:rsid w:val="02914F6B"/>
    <w:rsid w:val="02A73027"/>
    <w:rsid w:val="02C31095"/>
    <w:rsid w:val="02EE59E6"/>
    <w:rsid w:val="02F76F90"/>
    <w:rsid w:val="030B41F2"/>
    <w:rsid w:val="03367AB9"/>
    <w:rsid w:val="033A578D"/>
    <w:rsid w:val="03A569EC"/>
    <w:rsid w:val="03B15391"/>
    <w:rsid w:val="03CF3A69"/>
    <w:rsid w:val="03FE41F8"/>
    <w:rsid w:val="04771B30"/>
    <w:rsid w:val="049D76C3"/>
    <w:rsid w:val="04BA2023"/>
    <w:rsid w:val="051E0804"/>
    <w:rsid w:val="0523406D"/>
    <w:rsid w:val="05BB42A5"/>
    <w:rsid w:val="05C80770"/>
    <w:rsid w:val="05D9472B"/>
    <w:rsid w:val="05F652DD"/>
    <w:rsid w:val="06606BFB"/>
    <w:rsid w:val="06E93094"/>
    <w:rsid w:val="072C6C75"/>
    <w:rsid w:val="07512148"/>
    <w:rsid w:val="07576D6E"/>
    <w:rsid w:val="07AF7E3A"/>
    <w:rsid w:val="07C83611"/>
    <w:rsid w:val="080E2562"/>
    <w:rsid w:val="08AC4379"/>
    <w:rsid w:val="08F63846"/>
    <w:rsid w:val="09212671"/>
    <w:rsid w:val="09992B4F"/>
    <w:rsid w:val="09C13E54"/>
    <w:rsid w:val="09D04C56"/>
    <w:rsid w:val="09FE29B2"/>
    <w:rsid w:val="0A187F18"/>
    <w:rsid w:val="0A342878"/>
    <w:rsid w:val="0A7315F2"/>
    <w:rsid w:val="0A894972"/>
    <w:rsid w:val="0A984BB5"/>
    <w:rsid w:val="0AA417AC"/>
    <w:rsid w:val="0B2621C1"/>
    <w:rsid w:val="0B54368F"/>
    <w:rsid w:val="0BE37935"/>
    <w:rsid w:val="0C122745"/>
    <w:rsid w:val="0C7730AE"/>
    <w:rsid w:val="0CB67574"/>
    <w:rsid w:val="0CFB5BFC"/>
    <w:rsid w:val="0D645222"/>
    <w:rsid w:val="0D683F59"/>
    <w:rsid w:val="0DDB778D"/>
    <w:rsid w:val="0E010CC3"/>
    <w:rsid w:val="0E213113"/>
    <w:rsid w:val="0E35096D"/>
    <w:rsid w:val="0E590AFF"/>
    <w:rsid w:val="0E5B4710"/>
    <w:rsid w:val="0E6B3E18"/>
    <w:rsid w:val="0E71409B"/>
    <w:rsid w:val="0E741495"/>
    <w:rsid w:val="0E835B7C"/>
    <w:rsid w:val="0EC45B0A"/>
    <w:rsid w:val="0EDB32C2"/>
    <w:rsid w:val="0EE303C9"/>
    <w:rsid w:val="0F0D10F0"/>
    <w:rsid w:val="0F1D7D7F"/>
    <w:rsid w:val="0F580DB7"/>
    <w:rsid w:val="0F84395A"/>
    <w:rsid w:val="0FC226D4"/>
    <w:rsid w:val="0FED14FF"/>
    <w:rsid w:val="100E1475"/>
    <w:rsid w:val="10125409"/>
    <w:rsid w:val="10937656"/>
    <w:rsid w:val="10AF09F3"/>
    <w:rsid w:val="10E10006"/>
    <w:rsid w:val="11020FDA"/>
    <w:rsid w:val="112A22DF"/>
    <w:rsid w:val="11603F53"/>
    <w:rsid w:val="11C24C0D"/>
    <w:rsid w:val="11EB7CC0"/>
    <w:rsid w:val="11FC011F"/>
    <w:rsid w:val="12597320"/>
    <w:rsid w:val="127401F4"/>
    <w:rsid w:val="127E28E2"/>
    <w:rsid w:val="12C66037"/>
    <w:rsid w:val="12DB7D35"/>
    <w:rsid w:val="133D454B"/>
    <w:rsid w:val="136E4A56"/>
    <w:rsid w:val="137F0587"/>
    <w:rsid w:val="141352AC"/>
    <w:rsid w:val="143376FC"/>
    <w:rsid w:val="14952621"/>
    <w:rsid w:val="14B0380B"/>
    <w:rsid w:val="14D76808"/>
    <w:rsid w:val="14F90E84"/>
    <w:rsid w:val="151E03AD"/>
    <w:rsid w:val="152359C3"/>
    <w:rsid w:val="15347BD0"/>
    <w:rsid w:val="157955E3"/>
    <w:rsid w:val="15AE7982"/>
    <w:rsid w:val="15AF7257"/>
    <w:rsid w:val="15DA2525"/>
    <w:rsid w:val="16191EB1"/>
    <w:rsid w:val="162639BD"/>
    <w:rsid w:val="163D4862"/>
    <w:rsid w:val="165027E8"/>
    <w:rsid w:val="166E62D3"/>
    <w:rsid w:val="169F376F"/>
    <w:rsid w:val="16C84A74"/>
    <w:rsid w:val="16E55626"/>
    <w:rsid w:val="16E96798"/>
    <w:rsid w:val="16EA37A7"/>
    <w:rsid w:val="1726179A"/>
    <w:rsid w:val="17914E66"/>
    <w:rsid w:val="17940335"/>
    <w:rsid w:val="17FB2C27"/>
    <w:rsid w:val="184B19A5"/>
    <w:rsid w:val="18585984"/>
    <w:rsid w:val="189F1804"/>
    <w:rsid w:val="18A137CE"/>
    <w:rsid w:val="18B56782"/>
    <w:rsid w:val="18E15979"/>
    <w:rsid w:val="19157D18"/>
    <w:rsid w:val="19801636"/>
    <w:rsid w:val="198253AE"/>
    <w:rsid w:val="198D3D53"/>
    <w:rsid w:val="19B740FF"/>
    <w:rsid w:val="1A0F4768"/>
    <w:rsid w:val="1A604FC3"/>
    <w:rsid w:val="1A9133CF"/>
    <w:rsid w:val="1B027E29"/>
    <w:rsid w:val="1B44357B"/>
    <w:rsid w:val="1BB67591"/>
    <w:rsid w:val="1BCF0653"/>
    <w:rsid w:val="1BFD0D1C"/>
    <w:rsid w:val="1C346708"/>
    <w:rsid w:val="1C427076"/>
    <w:rsid w:val="1C4921B3"/>
    <w:rsid w:val="1C4C1CA3"/>
    <w:rsid w:val="1CD84995"/>
    <w:rsid w:val="1CF77E61"/>
    <w:rsid w:val="1D3A7D4E"/>
    <w:rsid w:val="1DD12460"/>
    <w:rsid w:val="1E652BA8"/>
    <w:rsid w:val="1EA47B74"/>
    <w:rsid w:val="1F1F544D"/>
    <w:rsid w:val="1F30765A"/>
    <w:rsid w:val="1F6B41EE"/>
    <w:rsid w:val="1FBE42D0"/>
    <w:rsid w:val="1FDB75C6"/>
    <w:rsid w:val="20B120D5"/>
    <w:rsid w:val="20B41BC5"/>
    <w:rsid w:val="20D34741"/>
    <w:rsid w:val="21466CC1"/>
    <w:rsid w:val="21957C48"/>
    <w:rsid w:val="21D20555"/>
    <w:rsid w:val="21F20BF7"/>
    <w:rsid w:val="221A488D"/>
    <w:rsid w:val="22342FBD"/>
    <w:rsid w:val="224869F6"/>
    <w:rsid w:val="22521696"/>
    <w:rsid w:val="22813210"/>
    <w:rsid w:val="22A719E1"/>
    <w:rsid w:val="22AC349C"/>
    <w:rsid w:val="22CF0F38"/>
    <w:rsid w:val="22E03145"/>
    <w:rsid w:val="22F664C5"/>
    <w:rsid w:val="231057D9"/>
    <w:rsid w:val="233314C7"/>
    <w:rsid w:val="235B5B93"/>
    <w:rsid w:val="236C49D9"/>
    <w:rsid w:val="23FB7AB3"/>
    <w:rsid w:val="240115C5"/>
    <w:rsid w:val="245B6D34"/>
    <w:rsid w:val="24605D25"/>
    <w:rsid w:val="24EF7670"/>
    <w:rsid w:val="251E59E0"/>
    <w:rsid w:val="253432D4"/>
    <w:rsid w:val="25553977"/>
    <w:rsid w:val="257858B7"/>
    <w:rsid w:val="25C94CC1"/>
    <w:rsid w:val="25F56F08"/>
    <w:rsid w:val="26946721"/>
    <w:rsid w:val="26CD39E1"/>
    <w:rsid w:val="26D42FC1"/>
    <w:rsid w:val="270339F4"/>
    <w:rsid w:val="27190DDB"/>
    <w:rsid w:val="27613B9F"/>
    <w:rsid w:val="2767173F"/>
    <w:rsid w:val="276B56D3"/>
    <w:rsid w:val="27743E5C"/>
    <w:rsid w:val="27CB7F20"/>
    <w:rsid w:val="280D678A"/>
    <w:rsid w:val="28341F69"/>
    <w:rsid w:val="28616AD6"/>
    <w:rsid w:val="28722300"/>
    <w:rsid w:val="289C18BC"/>
    <w:rsid w:val="291424A1"/>
    <w:rsid w:val="29671ECA"/>
    <w:rsid w:val="297D349C"/>
    <w:rsid w:val="29BB2216"/>
    <w:rsid w:val="29C94933"/>
    <w:rsid w:val="29C966E1"/>
    <w:rsid w:val="29D67050"/>
    <w:rsid w:val="29E03A2B"/>
    <w:rsid w:val="29EA6657"/>
    <w:rsid w:val="2ACB4B3B"/>
    <w:rsid w:val="2B17347C"/>
    <w:rsid w:val="2B2122ED"/>
    <w:rsid w:val="2B253DEB"/>
    <w:rsid w:val="2B30453E"/>
    <w:rsid w:val="2B400C25"/>
    <w:rsid w:val="2B465B0F"/>
    <w:rsid w:val="2BB94533"/>
    <w:rsid w:val="2BDF043E"/>
    <w:rsid w:val="2C040E3F"/>
    <w:rsid w:val="2C5D77DD"/>
    <w:rsid w:val="2C666469"/>
    <w:rsid w:val="2C6A6F0F"/>
    <w:rsid w:val="2C6E531E"/>
    <w:rsid w:val="2CB01DDA"/>
    <w:rsid w:val="2D067C4C"/>
    <w:rsid w:val="2D5C05DE"/>
    <w:rsid w:val="2DA03BFD"/>
    <w:rsid w:val="2DE41D3C"/>
    <w:rsid w:val="2E3507E9"/>
    <w:rsid w:val="2EC13202"/>
    <w:rsid w:val="2EC456C9"/>
    <w:rsid w:val="2EE43FBD"/>
    <w:rsid w:val="2F634EE2"/>
    <w:rsid w:val="2F81180C"/>
    <w:rsid w:val="2F9B0B20"/>
    <w:rsid w:val="2FCE6157"/>
    <w:rsid w:val="303348B4"/>
    <w:rsid w:val="3034062C"/>
    <w:rsid w:val="30444673"/>
    <w:rsid w:val="30556F21"/>
    <w:rsid w:val="307B625B"/>
    <w:rsid w:val="3086532C"/>
    <w:rsid w:val="30C220DC"/>
    <w:rsid w:val="30DF4A3C"/>
    <w:rsid w:val="30F93D50"/>
    <w:rsid w:val="31230DCD"/>
    <w:rsid w:val="3164321B"/>
    <w:rsid w:val="318B0720"/>
    <w:rsid w:val="319A0963"/>
    <w:rsid w:val="320108E0"/>
    <w:rsid w:val="320F30FF"/>
    <w:rsid w:val="32270449"/>
    <w:rsid w:val="323C53BB"/>
    <w:rsid w:val="325F4087"/>
    <w:rsid w:val="32B048E2"/>
    <w:rsid w:val="32F3657D"/>
    <w:rsid w:val="33095DA0"/>
    <w:rsid w:val="33BC1065"/>
    <w:rsid w:val="33CD5020"/>
    <w:rsid w:val="33FE78CF"/>
    <w:rsid w:val="340D213C"/>
    <w:rsid w:val="342D1890"/>
    <w:rsid w:val="34425249"/>
    <w:rsid w:val="344C5C41"/>
    <w:rsid w:val="34724346"/>
    <w:rsid w:val="34802092"/>
    <w:rsid w:val="34B32468"/>
    <w:rsid w:val="34B8182C"/>
    <w:rsid w:val="34CB5A03"/>
    <w:rsid w:val="355A28E3"/>
    <w:rsid w:val="356E2833"/>
    <w:rsid w:val="358B6F41"/>
    <w:rsid w:val="358C31E4"/>
    <w:rsid w:val="35A91A40"/>
    <w:rsid w:val="35D24B6F"/>
    <w:rsid w:val="361A2073"/>
    <w:rsid w:val="3629513B"/>
    <w:rsid w:val="362A55F3"/>
    <w:rsid w:val="3651018A"/>
    <w:rsid w:val="3652180C"/>
    <w:rsid w:val="36575075"/>
    <w:rsid w:val="369B1405"/>
    <w:rsid w:val="36B4161A"/>
    <w:rsid w:val="37256F21"/>
    <w:rsid w:val="37607F59"/>
    <w:rsid w:val="377C0298"/>
    <w:rsid w:val="37D42E21"/>
    <w:rsid w:val="37EC1F0C"/>
    <w:rsid w:val="37EE2E95"/>
    <w:rsid w:val="380E54D5"/>
    <w:rsid w:val="389D65A8"/>
    <w:rsid w:val="38AA3B82"/>
    <w:rsid w:val="38C8225A"/>
    <w:rsid w:val="38EF5A38"/>
    <w:rsid w:val="39186D3D"/>
    <w:rsid w:val="393578EF"/>
    <w:rsid w:val="39B5458C"/>
    <w:rsid w:val="3A06128C"/>
    <w:rsid w:val="3A192D6D"/>
    <w:rsid w:val="3A5913BB"/>
    <w:rsid w:val="3A910CB8"/>
    <w:rsid w:val="3AB46F3A"/>
    <w:rsid w:val="3AB94550"/>
    <w:rsid w:val="3AEC222F"/>
    <w:rsid w:val="3B534BCF"/>
    <w:rsid w:val="3B7E49FA"/>
    <w:rsid w:val="3BAE5149"/>
    <w:rsid w:val="3BB56AC5"/>
    <w:rsid w:val="3BC907C3"/>
    <w:rsid w:val="3C834E15"/>
    <w:rsid w:val="3CE358B4"/>
    <w:rsid w:val="3CE77152"/>
    <w:rsid w:val="3D2161F9"/>
    <w:rsid w:val="3D600CB3"/>
    <w:rsid w:val="3D6F7BF9"/>
    <w:rsid w:val="3DA46DF1"/>
    <w:rsid w:val="3DB42DAD"/>
    <w:rsid w:val="3DEE2762"/>
    <w:rsid w:val="3E0C1DC1"/>
    <w:rsid w:val="3E5500EC"/>
    <w:rsid w:val="3E8409D1"/>
    <w:rsid w:val="3EB05225"/>
    <w:rsid w:val="3EBC460F"/>
    <w:rsid w:val="3EE10EEA"/>
    <w:rsid w:val="3EEF6792"/>
    <w:rsid w:val="3EF618CF"/>
    <w:rsid w:val="3F073ADC"/>
    <w:rsid w:val="3F0D09C6"/>
    <w:rsid w:val="3F724CCD"/>
    <w:rsid w:val="3F76496D"/>
    <w:rsid w:val="3F8F587F"/>
    <w:rsid w:val="3FB6105E"/>
    <w:rsid w:val="3FBA0B4E"/>
    <w:rsid w:val="3FDC7F91"/>
    <w:rsid w:val="40295CD4"/>
    <w:rsid w:val="408E7C60"/>
    <w:rsid w:val="40D23C76"/>
    <w:rsid w:val="40E722CA"/>
    <w:rsid w:val="411C1395"/>
    <w:rsid w:val="413606A8"/>
    <w:rsid w:val="41984EBF"/>
    <w:rsid w:val="41B415CD"/>
    <w:rsid w:val="41BD1AED"/>
    <w:rsid w:val="41C07F72"/>
    <w:rsid w:val="41C77552"/>
    <w:rsid w:val="41EC0D67"/>
    <w:rsid w:val="41EF2605"/>
    <w:rsid w:val="42164036"/>
    <w:rsid w:val="4242307D"/>
    <w:rsid w:val="42554B5E"/>
    <w:rsid w:val="42B45D29"/>
    <w:rsid w:val="432B58BF"/>
    <w:rsid w:val="43870F88"/>
    <w:rsid w:val="439B0C97"/>
    <w:rsid w:val="43C976E9"/>
    <w:rsid w:val="43D61CCF"/>
    <w:rsid w:val="43DE2931"/>
    <w:rsid w:val="44000AFA"/>
    <w:rsid w:val="440B5E1C"/>
    <w:rsid w:val="443662AD"/>
    <w:rsid w:val="447514E8"/>
    <w:rsid w:val="44896D41"/>
    <w:rsid w:val="449851D6"/>
    <w:rsid w:val="44AE6086"/>
    <w:rsid w:val="44BD69EB"/>
    <w:rsid w:val="44FC39B7"/>
    <w:rsid w:val="456D6663"/>
    <w:rsid w:val="45795008"/>
    <w:rsid w:val="45A51959"/>
    <w:rsid w:val="46116FEE"/>
    <w:rsid w:val="46DB30D4"/>
    <w:rsid w:val="47610928"/>
    <w:rsid w:val="47A619B8"/>
    <w:rsid w:val="47AA76FA"/>
    <w:rsid w:val="47DE55F6"/>
    <w:rsid w:val="48141018"/>
    <w:rsid w:val="48681412"/>
    <w:rsid w:val="48855A71"/>
    <w:rsid w:val="48A24875"/>
    <w:rsid w:val="48AE321A"/>
    <w:rsid w:val="490B55D4"/>
    <w:rsid w:val="49B54134"/>
    <w:rsid w:val="4A370FED"/>
    <w:rsid w:val="4A8F7895"/>
    <w:rsid w:val="4A981A8C"/>
    <w:rsid w:val="4ABE1742"/>
    <w:rsid w:val="4B4624F0"/>
    <w:rsid w:val="4B481704"/>
    <w:rsid w:val="4B49722A"/>
    <w:rsid w:val="4B4B2FA2"/>
    <w:rsid w:val="4B567BDA"/>
    <w:rsid w:val="4B663938"/>
    <w:rsid w:val="4B86222C"/>
    <w:rsid w:val="4BE11211"/>
    <w:rsid w:val="4BE61ECF"/>
    <w:rsid w:val="4C166EB7"/>
    <w:rsid w:val="4C500EDF"/>
    <w:rsid w:val="4C7E73A7"/>
    <w:rsid w:val="4C8524E4"/>
    <w:rsid w:val="4D240145"/>
    <w:rsid w:val="4D7F6F33"/>
    <w:rsid w:val="4D875DE8"/>
    <w:rsid w:val="4DAB3F2C"/>
    <w:rsid w:val="4DBD4100"/>
    <w:rsid w:val="4DD76D6F"/>
    <w:rsid w:val="4E3C61DC"/>
    <w:rsid w:val="4E534A5B"/>
    <w:rsid w:val="4E5B5626"/>
    <w:rsid w:val="4E5C2689"/>
    <w:rsid w:val="4E6525CD"/>
    <w:rsid w:val="4E8C5DAC"/>
    <w:rsid w:val="4E9D1D67"/>
    <w:rsid w:val="4F11005F"/>
    <w:rsid w:val="4F1813ED"/>
    <w:rsid w:val="4F6B59C1"/>
    <w:rsid w:val="4F9A62A6"/>
    <w:rsid w:val="4FED4628"/>
    <w:rsid w:val="5019541D"/>
    <w:rsid w:val="502B6EFE"/>
    <w:rsid w:val="50546455"/>
    <w:rsid w:val="50681F00"/>
    <w:rsid w:val="515B016F"/>
    <w:rsid w:val="5187285A"/>
    <w:rsid w:val="527903F5"/>
    <w:rsid w:val="529F276A"/>
    <w:rsid w:val="52DE46FC"/>
    <w:rsid w:val="53AB0A82"/>
    <w:rsid w:val="53F46346"/>
    <w:rsid w:val="54063F0A"/>
    <w:rsid w:val="5425582A"/>
    <w:rsid w:val="546B51E8"/>
    <w:rsid w:val="54A97FFB"/>
    <w:rsid w:val="55346855"/>
    <w:rsid w:val="554A42CB"/>
    <w:rsid w:val="554D5B69"/>
    <w:rsid w:val="564E1B99"/>
    <w:rsid w:val="5661367A"/>
    <w:rsid w:val="567B4047"/>
    <w:rsid w:val="5684148A"/>
    <w:rsid w:val="56CE6835"/>
    <w:rsid w:val="56D7393C"/>
    <w:rsid w:val="56E85B49"/>
    <w:rsid w:val="56F664B8"/>
    <w:rsid w:val="575907F5"/>
    <w:rsid w:val="579253B0"/>
    <w:rsid w:val="57B974E6"/>
    <w:rsid w:val="57D936E4"/>
    <w:rsid w:val="58044C05"/>
    <w:rsid w:val="58392A01"/>
    <w:rsid w:val="58461F41"/>
    <w:rsid w:val="58B8779D"/>
    <w:rsid w:val="590F1AB3"/>
    <w:rsid w:val="59407906"/>
    <w:rsid w:val="59576FB6"/>
    <w:rsid w:val="59637709"/>
    <w:rsid w:val="596853F6"/>
    <w:rsid w:val="596A0A97"/>
    <w:rsid w:val="59814033"/>
    <w:rsid w:val="59815DE1"/>
    <w:rsid w:val="598D5E93"/>
    <w:rsid w:val="59A23BE3"/>
    <w:rsid w:val="59AD6BD6"/>
    <w:rsid w:val="59ED3476"/>
    <w:rsid w:val="59FD24E8"/>
    <w:rsid w:val="5A204149"/>
    <w:rsid w:val="5A6000EC"/>
    <w:rsid w:val="5A843DDB"/>
    <w:rsid w:val="5ABA77FD"/>
    <w:rsid w:val="5AD703AE"/>
    <w:rsid w:val="5B060C94"/>
    <w:rsid w:val="5B172EA1"/>
    <w:rsid w:val="5B661732"/>
    <w:rsid w:val="5B673724"/>
    <w:rsid w:val="5B6F05E7"/>
    <w:rsid w:val="5B995664"/>
    <w:rsid w:val="5BA67D81"/>
    <w:rsid w:val="5BC14BBB"/>
    <w:rsid w:val="5C0056E3"/>
    <w:rsid w:val="5C14118E"/>
    <w:rsid w:val="5C1B076F"/>
    <w:rsid w:val="5C2A09B2"/>
    <w:rsid w:val="5C427AAA"/>
    <w:rsid w:val="5C4355C2"/>
    <w:rsid w:val="5C95407D"/>
    <w:rsid w:val="5CB62246"/>
    <w:rsid w:val="5CDF79EE"/>
    <w:rsid w:val="5D2C0026"/>
    <w:rsid w:val="5D331AE8"/>
    <w:rsid w:val="5D376039"/>
    <w:rsid w:val="5D731EE5"/>
    <w:rsid w:val="5D9B1B67"/>
    <w:rsid w:val="5D9C143B"/>
    <w:rsid w:val="5DCA244C"/>
    <w:rsid w:val="5DED1C97"/>
    <w:rsid w:val="5DF03535"/>
    <w:rsid w:val="5DF9422C"/>
    <w:rsid w:val="5E162F9C"/>
    <w:rsid w:val="5E6A778C"/>
    <w:rsid w:val="5E6C3504"/>
    <w:rsid w:val="5E6D4B86"/>
    <w:rsid w:val="5E8E1C6D"/>
    <w:rsid w:val="5E8F2D4E"/>
    <w:rsid w:val="5EA93E10"/>
    <w:rsid w:val="5EAF1FE5"/>
    <w:rsid w:val="5F025706"/>
    <w:rsid w:val="5F270D77"/>
    <w:rsid w:val="5F7D704B"/>
    <w:rsid w:val="5FEA6866"/>
    <w:rsid w:val="5FF05A6E"/>
    <w:rsid w:val="6005776C"/>
    <w:rsid w:val="60196D73"/>
    <w:rsid w:val="603E670B"/>
    <w:rsid w:val="60483AFC"/>
    <w:rsid w:val="609603C4"/>
    <w:rsid w:val="60A24FBB"/>
    <w:rsid w:val="60BC79ED"/>
    <w:rsid w:val="615362B5"/>
    <w:rsid w:val="622C5484"/>
    <w:rsid w:val="62724E61"/>
    <w:rsid w:val="62854F08"/>
    <w:rsid w:val="62893AE2"/>
    <w:rsid w:val="62BD2580"/>
    <w:rsid w:val="631A52DC"/>
    <w:rsid w:val="63730E90"/>
    <w:rsid w:val="637A221F"/>
    <w:rsid w:val="63902AC3"/>
    <w:rsid w:val="6393508F"/>
    <w:rsid w:val="63B079EF"/>
    <w:rsid w:val="63DC07E4"/>
    <w:rsid w:val="63E678B4"/>
    <w:rsid w:val="646031C3"/>
    <w:rsid w:val="64E35BA2"/>
    <w:rsid w:val="64EA5182"/>
    <w:rsid w:val="64FE478A"/>
    <w:rsid w:val="65091AAC"/>
    <w:rsid w:val="65385EEE"/>
    <w:rsid w:val="655B7E2E"/>
    <w:rsid w:val="659B647C"/>
    <w:rsid w:val="65A672FB"/>
    <w:rsid w:val="65CA39AA"/>
    <w:rsid w:val="65F362B8"/>
    <w:rsid w:val="66AD290B"/>
    <w:rsid w:val="67403BAD"/>
    <w:rsid w:val="67670D0C"/>
    <w:rsid w:val="677B5E6B"/>
    <w:rsid w:val="67BB4BB4"/>
    <w:rsid w:val="686D2352"/>
    <w:rsid w:val="68A37B22"/>
    <w:rsid w:val="68B41D2F"/>
    <w:rsid w:val="68DC1286"/>
    <w:rsid w:val="69036813"/>
    <w:rsid w:val="69F36887"/>
    <w:rsid w:val="6A0E1913"/>
    <w:rsid w:val="6A235D4D"/>
    <w:rsid w:val="6A2922A9"/>
    <w:rsid w:val="6A413A96"/>
    <w:rsid w:val="6A462E5B"/>
    <w:rsid w:val="6A576E16"/>
    <w:rsid w:val="6A6652AB"/>
    <w:rsid w:val="6A7D43A3"/>
    <w:rsid w:val="6A933BC6"/>
    <w:rsid w:val="6AE6019A"/>
    <w:rsid w:val="6B0D1BCA"/>
    <w:rsid w:val="6B2A75BF"/>
    <w:rsid w:val="6B7D28AC"/>
    <w:rsid w:val="6B8C6F93"/>
    <w:rsid w:val="6BB87D88"/>
    <w:rsid w:val="6BD12BF8"/>
    <w:rsid w:val="6C150D37"/>
    <w:rsid w:val="6C4C227F"/>
    <w:rsid w:val="6C6E6699"/>
    <w:rsid w:val="6C727A4A"/>
    <w:rsid w:val="6C7672FB"/>
    <w:rsid w:val="6C7C7008"/>
    <w:rsid w:val="6C8934D3"/>
    <w:rsid w:val="6CFC1EF7"/>
    <w:rsid w:val="6D01750D"/>
    <w:rsid w:val="6D070077"/>
    <w:rsid w:val="6D0A63C2"/>
    <w:rsid w:val="6D4A0EB4"/>
    <w:rsid w:val="6D505150"/>
    <w:rsid w:val="6D6B4986"/>
    <w:rsid w:val="6D851EEC"/>
    <w:rsid w:val="6DC5678C"/>
    <w:rsid w:val="6DD8026E"/>
    <w:rsid w:val="6EC6456A"/>
    <w:rsid w:val="6F2418A9"/>
    <w:rsid w:val="6F375468"/>
    <w:rsid w:val="6F4B0F13"/>
    <w:rsid w:val="6F747727"/>
    <w:rsid w:val="6FC52A74"/>
    <w:rsid w:val="70514307"/>
    <w:rsid w:val="70604CC5"/>
    <w:rsid w:val="70757FF6"/>
    <w:rsid w:val="70D56CE6"/>
    <w:rsid w:val="70E37655"/>
    <w:rsid w:val="70F03B20"/>
    <w:rsid w:val="70F27366"/>
    <w:rsid w:val="70FE6886"/>
    <w:rsid w:val="715F4802"/>
    <w:rsid w:val="719808DD"/>
    <w:rsid w:val="71A861A9"/>
    <w:rsid w:val="71AB5C99"/>
    <w:rsid w:val="72113D4E"/>
    <w:rsid w:val="72155CE2"/>
    <w:rsid w:val="72201995"/>
    <w:rsid w:val="72514A93"/>
    <w:rsid w:val="726E2F4F"/>
    <w:rsid w:val="72912658"/>
    <w:rsid w:val="729F57FE"/>
    <w:rsid w:val="72A048AC"/>
    <w:rsid w:val="72B71F3F"/>
    <w:rsid w:val="72CE5139"/>
    <w:rsid w:val="72D54D33"/>
    <w:rsid w:val="72F13B80"/>
    <w:rsid w:val="72F773E8"/>
    <w:rsid w:val="7318110C"/>
    <w:rsid w:val="7352461E"/>
    <w:rsid w:val="73C31078"/>
    <w:rsid w:val="73F676A0"/>
    <w:rsid w:val="73FE1199"/>
    <w:rsid w:val="74017DF2"/>
    <w:rsid w:val="743A0A62"/>
    <w:rsid w:val="7487654A"/>
    <w:rsid w:val="74B80DF9"/>
    <w:rsid w:val="74DA0D6F"/>
    <w:rsid w:val="75093403"/>
    <w:rsid w:val="75107E41"/>
    <w:rsid w:val="7530098F"/>
    <w:rsid w:val="75382A37"/>
    <w:rsid w:val="756B19C7"/>
    <w:rsid w:val="759251A6"/>
    <w:rsid w:val="75A373B3"/>
    <w:rsid w:val="75F22FEB"/>
    <w:rsid w:val="75FA2D4B"/>
    <w:rsid w:val="76277FE4"/>
    <w:rsid w:val="763D362D"/>
    <w:rsid w:val="76684159"/>
    <w:rsid w:val="76911902"/>
    <w:rsid w:val="76A74C81"/>
    <w:rsid w:val="76A809F9"/>
    <w:rsid w:val="76BB2F16"/>
    <w:rsid w:val="771B11CB"/>
    <w:rsid w:val="773F135E"/>
    <w:rsid w:val="7755292F"/>
    <w:rsid w:val="77813724"/>
    <w:rsid w:val="77A45665"/>
    <w:rsid w:val="77B207AB"/>
    <w:rsid w:val="783267CC"/>
    <w:rsid w:val="78372035"/>
    <w:rsid w:val="7840538D"/>
    <w:rsid w:val="78743289"/>
    <w:rsid w:val="7896382D"/>
    <w:rsid w:val="790939D1"/>
    <w:rsid w:val="792B7DEB"/>
    <w:rsid w:val="795804B5"/>
    <w:rsid w:val="79766B8D"/>
    <w:rsid w:val="79993265"/>
    <w:rsid w:val="79BC6C95"/>
    <w:rsid w:val="79E26053"/>
    <w:rsid w:val="79E61F64"/>
    <w:rsid w:val="79F44681"/>
    <w:rsid w:val="7A102B3D"/>
    <w:rsid w:val="7A1E16FE"/>
    <w:rsid w:val="7A3C3932"/>
    <w:rsid w:val="7A804167"/>
    <w:rsid w:val="7AA045E2"/>
    <w:rsid w:val="7AA54114"/>
    <w:rsid w:val="7ADB75EF"/>
    <w:rsid w:val="7B0F54EB"/>
    <w:rsid w:val="7B2F16E9"/>
    <w:rsid w:val="7B533629"/>
    <w:rsid w:val="7B5D1DB2"/>
    <w:rsid w:val="7B851309"/>
    <w:rsid w:val="7B90109C"/>
    <w:rsid w:val="7BB3231A"/>
    <w:rsid w:val="7BC938EC"/>
    <w:rsid w:val="7BE83190"/>
    <w:rsid w:val="7C431DAC"/>
    <w:rsid w:val="7C43369E"/>
    <w:rsid w:val="7C694787"/>
    <w:rsid w:val="7C6B5E78"/>
    <w:rsid w:val="7C705073"/>
    <w:rsid w:val="7CAA1027"/>
    <w:rsid w:val="7CB1685A"/>
    <w:rsid w:val="7CB24380"/>
    <w:rsid w:val="7CF60710"/>
    <w:rsid w:val="7CF95B0B"/>
    <w:rsid w:val="7D2863F0"/>
    <w:rsid w:val="7D2A03BA"/>
    <w:rsid w:val="7D6A11EA"/>
    <w:rsid w:val="7D9D6DDE"/>
    <w:rsid w:val="7DC45624"/>
    <w:rsid w:val="7DC66335"/>
    <w:rsid w:val="7E1B6AFE"/>
    <w:rsid w:val="7E503E50"/>
    <w:rsid w:val="7E8B30DA"/>
    <w:rsid w:val="7EC14D4E"/>
    <w:rsid w:val="7ECB1729"/>
    <w:rsid w:val="7ED56104"/>
    <w:rsid w:val="7EEB3B79"/>
    <w:rsid w:val="7EF637C8"/>
    <w:rsid w:val="7F25708B"/>
    <w:rsid w:val="7F9A18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32"/>
        <o:r id="V:Rule2" type="connector" idref="#_x0000_s1033"/>
        <o:r id="V:Rule3" type="connector" idref="#_x0000_s1034"/>
        <o:r id="V:Rule4" type="connector" idref="#_x0000_s1035"/>
        <o:r id="V:Rule5" type="connector" idref="#_x0000_s1036"/>
        <o:r id="V:Rule6" type="connector" idref="#_x0000_s1037"/>
        <o:r id="V:Rule7" type="connector" idref="#_x0000_s1038"/>
        <o:r id="V:Rule8" type="connector" idref="#_x0000_s1039"/>
        <o:r id="V:Rule9" type="connector" idref="#_x0000_s1040"/>
        <o:r id="V:Rule10" type="connector" idref="#_x0000_s1041"/>
        <o:r id="V:Rule11" type="connector" idref="#_x0000_s1042"/>
        <o:r id="V:Rule12" type="connector" idref="#_x0000_s1043"/>
        <o:r id="V:Rule13" type="connector" idref="#_x0000_s1044"/>
        <o:r id="V:Rule14" type="connector" idref="#_x0000_s104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name="annotation text"/>
    <w:lsdException w:qFormat="1" w:uiPriority="99" w:semiHidden="0" w:name="header"/>
    <w:lsdException w:qFormat="1" w:uiPriority="0"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EastAsia" w:cstheme="minorBidi"/>
      <w:sz w:val="22"/>
      <w:szCs w:val="22"/>
      <w:lang w:val="en-US" w:eastAsia="en-US" w:bidi="en-US"/>
    </w:rPr>
  </w:style>
  <w:style w:type="paragraph" w:styleId="2">
    <w:name w:val="heading 1"/>
    <w:basedOn w:val="1"/>
    <w:next w:val="1"/>
    <w:link w:val="74"/>
    <w:qFormat/>
    <w:uiPriority w:val="9"/>
    <w:pPr>
      <w:keepNext/>
      <w:keepLines/>
      <w:spacing w:before="480" w:after="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76"/>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77"/>
    <w:unhideWhenUsed/>
    <w:qFormat/>
    <w:uiPriority w:val="9"/>
    <w:pPr>
      <w:keepNext/>
      <w:keepLines/>
      <w:spacing w:before="200" w:after="0"/>
      <w:outlineLvl w:val="2"/>
    </w:pPr>
    <w:rPr>
      <w:rFonts w:asciiTheme="majorHAnsi" w:hAnsiTheme="majorHAnsi" w:eastAsiaTheme="majorEastAsia" w:cstheme="majorBidi"/>
      <w:b/>
      <w:bCs/>
      <w:color w:val="4F81BD" w:themeColor="accent1"/>
    </w:rPr>
  </w:style>
  <w:style w:type="paragraph" w:styleId="5">
    <w:name w:val="heading 4"/>
    <w:basedOn w:val="1"/>
    <w:next w:val="1"/>
    <w:link w:val="78"/>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rPr>
  </w:style>
  <w:style w:type="paragraph" w:styleId="6">
    <w:name w:val="heading 5"/>
    <w:basedOn w:val="1"/>
    <w:next w:val="1"/>
    <w:link w:val="79"/>
    <w:semiHidden/>
    <w:unhideWhenUsed/>
    <w:qFormat/>
    <w:uiPriority w:val="9"/>
    <w:pPr>
      <w:keepNext/>
      <w:keepLines/>
      <w:spacing w:before="200" w:after="0"/>
      <w:outlineLvl w:val="4"/>
    </w:pPr>
    <w:rPr>
      <w:rFonts w:asciiTheme="majorHAnsi" w:hAnsiTheme="majorHAnsi" w:eastAsiaTheme="majorEastAsia" w:cstheme="majorBidi"/>
      <w:color w:val="243F61" w:themeColor="accent1" w:themeShade="7F"/>
    </w:rPr>
  </w:style>
  <w:style w:type="paragraph" w:styleId="7">
    <w:name w:val="heading 6"/>
    <w:basedOn w:val="1"/>
    <w:next w:val="1"/>
    <w:link w:val="80"/>
    <w:semiHidden/>
    <w:unhideWhenUsed/>
    <w:qFormat/>
    <w:uiPriority w:val="9"/>
    <w:pPr>
      <w:keepNext/>
      <w:keepLines/>
      <w:spacing w:before="200" w:after="0"/>
      <w:outlineLvl w:val="5"/>
    </w:pPr>
    <w:rPr>
      <w:rFonts w:asciiTheme="majorHAnsi" w:hAnsiTheme="majorHAnsi" w:eastAsiaTheme="majorEastAsia" w:cstheme="majorBidi"/>
      <w:i/>
      <w:iCs/>
      <w:color w:val="243F61" w:themeColor="accent1" w:themeShade="7F"/>
    </w:rPr>
  </w:style>
  <w:style w:type="paragraph" w:styleId="8">
    <w:name w:val="heading 7"/>
    <w:basedOn w:val="1"/>
    <w:next w:val="1"/>
    <w:link w:val="81"/>
    <w:semiHidden/>
    <w:unhideWhenUsed/>
    <w:qFormat/>
    <w:uiPriority w:val="9"/>
    <w:pPr>
      <w:keepNext/>
      <w:keepLines/>
      <w:spacing w:before="200" w:after="0"/>
      <w:outlineLvl w:val="6"/>
    </w:pPr>
    <w:rPr>
      <w:rFonts w:asciiTheme="majorHAnsi" w:hAnsiTheme="majorHAnsi" w:eastAsiaTheme="majorEastAsia" w:cstheme="majorBidi"/>
      <w:i/>
      <w:iCs/>
      <w:color w:val="3F3F3F" w:themeColor="text1" w:themeTint="BF"/>
    </w:rPr>
  </w:style>
  <w:style w:type="paragraph" w:styleId="9">
    <w:name w:val="heading 8"/>
    <w:basedOn w:val="1"/>
    <w:next w:val="1"/>
    <w:link w:val="82"/>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10">
    <w:name w:val="heading 9"/>
    <w:basedOn w:val="1"/>
    <w:next w:val="1"/>
    <w:link w:val="83"/>
    <w:semiHidden/>
    <w:unhideWhenUsed/>
    <w:qFormat/>
    <w:uiPriority w:val="9"/>
    <w:pPr>
      <w:keepNext/>
      <w:keepLines/>
      <w:spacing w:before="200" w:after="0"/>
      <w:outlineLvl w:val="8"/>
    </w:pPr>
    <w:rPr>
      <w:rFonts w:asciiTheme="majorHAnsi" w:hAnsiTheme="majorHAnsi" w:eastAsiaTheme="majorEastAsia" w:cstheme="majorBidi"/>
      <w:i/>
      <w:iCs/>
      <w:color w:val="3F3F3F" w:themeColor="text1" w:themeTint="BF"/>
      <w:sz w:val="20"/>
      <w:szCs w:val="20"/>
    </w:rPr>
  </w:style>
  <w:style w:type="character" w:default="1" w:styleId="34">
    <w:name w:val="Default Paragraph Font"/>
    <w:semiHidden/>
    <w:unhideWhenUsed/>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widowControl w:val="0"/>
      <w:spacing w:after="0"/>
      <w:ind w:left="2520" w:leftChars="1200"/>
      <w:jc w:val="both"/>
    </w:pPr>
    <w:rPr>
      <w:kern w:val="2"/>
      <w:sz w:val="21"/>
      <w:lang w:eastAsia="zh-CN" w:bidi="ar-SA"/>
    </w:rPr>
  </w:style>
  <w:style w:type="paragraph" w:styleId="12">
    <w:name w:val="caption"/>
    <w:basedOn w:val="1"/>
    <w:next w:val="1"/>
    <w:unhideWhenUsed/>
    <w:qFormat/>
    <w:uiPriority w:val="0"/>
    <w:rPr>
      <w:b/>
      <w:bCs/>
      <w:color w:val="4F81BD" w:themeColor="accent1"/>
      <w:sz w:val="18"/>
      <w:szCs w:val="18"/>
    </w:rPr>
  </w:style>
  <w:style w:type="paragraph" w:styleId="13">
    <w:name w:val="annotation text"/>
    <w:basedOn w:val="1"/>
    <w:link w:val="66"/>
    <w:semiHidden/>
    <w:unhideWhenUsed/>
    <w:qFormat/>
    <w:uiPriority w:val="0"/>
  </w:style>
  <w:style w:type="paragraph" w:styleId="14">
    <w:name w:val="Body Text"/>
    <w:basedOn w:val="1"/>
    <w:link w:val="71"/>
    <w:qFormat/>
    <w:uiPriority w:val="0"/>
    <w:pPr>
      <w:jc w:val="center"/>
    </w:pPr>
    <w:rPr>
      <w:lang w:eastAsia="zh-CN"/>
    </w:rPr>
  </w:style>
  <w:style w:type="paragraph" w:styleId="15">
    <w:name w:val="toc 5"/>
    <w:basedOn w:val="1"/>
    <w:next w:val="1"/>
    <w:autoRedefine/>
    <w:unhideWhenUsed/>
    <w:qFormat/>
    <w:uiPriority w:val="39"/>
    <w:pPr>
      <w:widowControl w:val="0"/>
      <w:spacing w:after="0"/>
      <w:ind w:left="1680" w:leftChars="800"/>
      <w:jc w:val="both"/>
    </w:pPr>
    <w:rPr>
      <w:kern w:val="2"/>
      <w:sz w:val="21"/>
      <w:lang w:eastAsia="zh-CN" w:bidi="ar-SA"/>
    </w:rPr>
  </w:style>
  <w:style w:type="paragraph" w:styleId="16">
    <w:name w:val="toc 3"/>
    <w:basedOn w:val="1"/>
    <w:next w:val="1"/>
    <w:autoRedefine/>
    <w:unhideWhenUsed/>
    <w:qFormat/>
    <w:uiPriority w:val="39"/>
    <w:pPr>
      <w:spacing w:after="100"/>
      <w:ind w:left="440"/>
    </w:pPr>
    <w:rPr>
      <w:lang w:eastAsia="zh-CN"/>
    </w:rPr>
  </w:style>
  <w:style w:type="paragraph" w:styleId="17">
    <w:name w:val="toc 8"/>
    <w:basedOn w:val="1"/>
    <w:next w:val="1"/>
    <w:autoRedefine/>
    <w:unhideWhenUsed/>
    <w:qFormat/>
    <w:uiPriority w:val="39"/>
    <w:pPr>
      <w:widowControl w:val="0"/>
      <w:spacing w:after="0"/>
      <w:ind w:left="2940" w:leftChars="1400"/>
      <w:jc w:val="both"/>
    </w:pPr>
    <w:rPr>
      <w:kern w:val="2"/>
      <w:sz w:val="21"/>
      <w:lang w:eastAsia="zh-CN" w:bidi="ar-SA"/>
    </w:rPr>
  </w:style>
  <w:style w:type="paragraph" w:styleId="18">
    <w:name w:val="Date"/>
    <w:basedOn w:val="1"/>
    <w:next w:val="1"/>
    <w:link w:val="70"/>
    <w:semiHidden/>
    <w:unhideWhenUsed/>
    <w:qFormat/>
    <w:uiPriority w:val="99"/>
    <w:pPr>
      <w:ind w:left="100" w:leftChars="2500"/>
    </w:pPr>
  </w:style>
  <w:style w:type="paragraph" w:styleId="19">
    <w:name w:val="Body Text Indent 2"/>
    <w:basedOn w:val="1"/>
    <w:link w:val="72"/>
    <w:qFormat/>
    <w:uiPriority w:val="0"/>
    <w:pPr>
      <w:ind w:left="502" w:leftChars="239"/>
    </w:pPr>
    <w:rPr>
      <w:szCs w:val="20"/>
      <w:lang w:eastAsia="zh-CN"/>
    </w:rPr>
  </w:style>
  <w:style w:type="paragraph" w:styleId="20">
    <w:name w:val="Balloon Text"/>
    <w:basedOn w:val="1"/>
    <w:link w:val="42"/>
    <w:semiHidden/>
    <w:unhideWhenUsed/>
    <w:qFormat/>
    <w:uiPriority w:val="99"/>
    <w:rPr>
      <w:sz w:val="18"/>
      <w:szCs w:val="18"/>
      <w:lang w:eastAsia="zh-CN"/>
    </w:rPr>
  </w:style>
  <w:style w:type="paragraph" w:styleId="21">
    <w:name w:val="footer"/>
    <w:basedOn w:val="1"/>
    <w:link w:val="41"/>
    <w:unhideWhenUsed/>
    <w:qFormat/>
    <w:uiPriority w:val="0"/>
    <w:pPr>
      <w:tabs>
        <w:tab w:val="center" w:pos="4153"/>
        <w:tab w:val="right" w:pos="8306"/>
      </w:tabs>
      <w:snapToGrid w:val="0"/>
    </w:pPr>
    <w:rPr>
      <w:sz w:val="18"/>
      <w:szCs w:val="18"/>
      <w:lang w:eastAsia="zh-CN"/>
    </w:rPr>
  </w:style>
  <w:style w:type="paragraph" w:styleId="22">
    <w:name w:val="header"/>
    <w:basedOn w:val="1"/>
    <w:link w:val="40"/>
    <w:unhideWhenUsed/>
    <w:qFormat/>
    <w:uiPriority w:val="99"/>
    <w:pPr>
      <w:pBdr>
        <w:bottom w:val="single" w:color="auto" w:sz="6" w:space="1"/>
      </w:pBdr>
      <w:tabs>
        <w:tab w:val="center" w:pos="4153"/>
        <w:tab w:val="right" w:pos="8306"/>
      </w:tabs>
      <w:snapToGrid w:val="0"/>
      <w:jc w:val="center"/>
    </w:pPr>
    <w:rPr>
      <w:sz w:val="18"/>
      <w:szCs w:val="18"/>
      <w:lang w:eastAsia="zh-CN"/>
    </w:rPr>
  </w:style>
  <w:style w:type="paragraph" w:styleId="23">
    <w:name w:val="toc 1"/>
    <w:basedOn w:val="1"/>
    <w:next w:val="1"/>
    <w:autoRedefine/>
    <w:unhideWhenUsed/>
    <w:qFormat/>
    <w:uiPriority w:val="39"/>
    <w:pPr>
      <w:spacing w:after="100"/>
    </w:pPr>
    <w:rPr>
      <w:lang w:eastAsia="zh-CN"/>
    </w:rPr>
  </w:style>
  <w:style w:type="paragraph" w:styleId="24">
    <w:name w:val="toc 4"/>
    <w:basedOn w:val="1"/>
    <w:next w:val="1"/>
    <w:autoRedefine/>
    <w:unhideWhenUsed/>
    <w:qFormat/>
    <w:uiPriority w:val="39"/>
    <w:pPr>
      <w:widowControl w:val="0"/>
      <w:spacing w:after="0"/>
      <w:ind w:left="1260" w:leftChars="600"/>
      <w:jc w:val="both"/>
    </w:pPr>
    <w:rPr>
      <w:kern w:val="2"/>
      <w:sz w:val="21"/>
      <w:lang w:eastAsia="zh-CN" w:bidi="ar-SA"/>
    </w:rPr>
  </w:style>
  <w:style w:type="paragraph" w:styleId="25">
    <w:name w:val="Subtitle"/>
    <w:basedOn w:val="1"/>
    <w:next w:val="1"/>
    <w:link w:val="85"/>
    <w:qFormat/>
    <w:uiPriority w:val="11"/>
    <w:rPr>
      <w:rFonts w:asciiTheme="majorHAnsi" w:hAnsiTheme="majorHAnsi" w:eastAsiaTheme="majorEastAsia" w:cstheme="majorBidi"/>
      <w:i/>
      <w:iCs/>
      <w:color w:val="4F81BD" w:themeColor="accent1"/>
      <w:spacing w:val="15"/>
      <w:sz w:val="24"/>
      <w:szCs w:val="24"/>
    </w:rPr>
  </w:style>
  <w:style w:type="paragraph" w:styleId="26">
    <w:name w:val="toc 6"/>
    <w:basedOn w:val="1"/>
    <w:next w:val="1"/>
    <w:autoRedefine/>
    <w:unhideWhenUsed/>
    <w:qFormat/>
    <w:uiPriority w:val="39"/>
    <w:pPr>
      <w:widowControl w:val="0"/>
      <w:spacing w:after="0"/>
      <w:ind w:left="2100" w:leftChars="1000"/>
      <w:jc w:val="both"/>
    </w:pPr>
    <w:rPr>
      <w:kern w:val="2"/>
      <w:sz w:val="21"/>
      <w:lang w:eastAsia="zh-CN" w:bidi="ar-SA"/>
    </w:rPr>
  </w:style>
  <w:style w:type="paragraph" w:styleId="27">
    <w:name w:val="toc 2"/>
    <w:basedOn w:val="1"/>
    <w:next w:val="1"/>
    <w:autoRedefine/>
    <w:unhideWhenUsed/>
    <w:qFormat/>
    <w:uiPriority w:val="39"/>
    <w:pPr>
      <w:spacing w:after="100"/>
      <w:ind w:left="220"/>
    </w:pPr>
    <w:rPr>
      <w:lang w:eastAsia="zh-CN"/>
    </w:rPr>
  </w:style>
  <w:style w:type="paragraph" w:styleId="28">
    <w:name w:val="toc 9"/>
    <w:basedOn w:val="1"/>
    <w:next w:val="1"/>
    <w:autoRedefine/>
    <w:unhideWhenUsed/>
    <w:qFormat/>
    <w:uiPriority w:val="39"/>
    <w:pPr>
      <w:widowControl w:val="0"/>
      <w:spacing w:after="0"/>
      <w:ind w:left="3360" w:leftChars="1600"/>
      <w:jc w:val="both"/>
    </w:pPr>
    <w:rPr>
      <w:kern w:val="2"/>
      <w:sz w:val="21"/>
      <w:lang w:eastAsia="zh-CN" w:bidi="ar-SA"/>
    </w:rPr>
  </w:style>
  <w:style w:type="paragraph" w:styleId="29">
    <w:name w:val="Normal (Web)"/>
    <w:basedOn w:val="1"/>
    <w:semiHidden/>
    <w:unhideWhenUsed/>
    <w:qFormat/>
    <w:uiPriority w:val="99"/>
    <w:pPr>
      <w:spacing w:beforeAutospacing="1" w:afterAutospacing="1"/>
    </w:pPr>
    <w:rPr>
      <w:sz w:val="24"/>
      <w:lang w:eastAsia="zh-CN"/>
    </w:rPr>
  </w:style>
  <w:style w:type="paragraph" w:styleId="30">
    <w:name w:val="Title"/>
    <w:basedOn w:val="1"/>
    <w:next w:val="1"/>
    <w:link w:val="84"/>
    <w:qFormat/>
    <w:uiPriority w:val="10"/>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paragraph" w:styleId="31">
    <w:name w:val="annotation subject"/>
    <w:basedOn w:val="13"/>
    <w:next w:val="13"/>
    <w:link w:val="67"/>
    <w:semiHidden/>
    <w:unhideWhenUsed/>
    <w:qFormat/>
    <w:uiPriority w:val="0"/>
    <w:rPr>
      <w:b/>
      <w:bCs/>
    </w:rPr>
  </w:style>
  <w:style w:type="table" w:styleId="33">
    <w:name w:val="Table Grid"/>
    <w:basedOn w:val="3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35">
    <w:name w:val="Strong"/>
    <w:basedOn w:val="34"/>
    <w:qFormat/>
    <w:uiPriority w:val="22"/>
    <w:rPr>
      <w:b/>
      <w:bCs/>
    </w:rPr>
  </w:style>
  <w:style w:type="character" w:styleId="36">
    <w:name w:val="page number"/>
    <w:basedOn w:val="34"/>
    <w:qFormat/>
    <w:uiPriority w:val="0"/>
  </w:style>
  <w:style w:type="character" w:styleId="37">
    <w:name w:val="Emphasis"/>
    <w:basedOn w:val="34"/>
    <w:qFormat/>
    <w:uiPriority w:val="20"/>
    <w:rPr>
      <w:i/>
      <w:iCs/>
    </w:rPr>
  </w:style>
  <w:style w:type="character" w:styleId="38">
    <w:name w:val="Hyperlink"/>
    <w:basedOn w:val="34"/>
    <w:unhideWhenUsed/>
    <w:qFormat/>
    <w:uiPriority w:val="99"/>
    <w:rPr>
      <w:color w:val="0000FF" w:themeColor="hyperlink"/>
      <w:u w:val="single"/>
    </w:rPr>
  </w:style>
  <w:style w:type="character" w:styleId="39">
    <w:name w:val="annotation reference"/>
    <w:basedOn w:val="34"/>
    <w:semiHidden/>
    <w:unhideWhenUsed/>
    <w:qFormat/>
    <w:uiPriority w:val="0"/>
    <w:rPr>
      <w:sz w:val="21"/>
      <w:szCs w:val="21"/>
    </w:rPr>
  </w:style>
  <w:style w:type="character" w:customStyle="1" w:styleId="40">
    <w:name w:val="页眉 Char"/>
    <w:basedOn w:val="34"/>
    <w:link w:val="22"/>
    <w:qFormat/>
    <w:uiPriority w:val="99"/>
    <w:rPr>
      <w:sz w:val="18"/>
      <w:szCs w:val="18"/>
    </w:rPr>
  </w:style>
  <w:style w:type="character" w:customStyle="1" w:styleId="41">
    <w:name w:val="页脚 Char"/>
    <w:basedOn w:val="34"/>
    <w:link w:val="21"/>
    <w:qFormat/>
    <w:uiPriority w:val="0"/>
    <w:rPr>
      <w:sz w:val="18"/>
      <w:szCs w:val="18"/>
    </w:rPr>
  </w:style>
  <w:style w:type="character" w:customStyle="1" w:styleId="42">
    <w:name w:val="批注框文本 Char"/>
    <w:basedOn w:val="34"/>
    <w:link w:val="20"/>
    <w:semiHidden/>
    <w:qFormat/>
    <w:uiPriority w:val="99"/>
    <w:rPr>
      <w:sz w:val="18"/>
      <w:szCs w:val="18"/>
    </w:rPr>
  </w:style>
  <w:style w:type="paragraph" w:customStyle="1" w:styleId="43">
    <w:name w:val="Normal_1"/>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4">
    <w:name w:val="Normal_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5">
    <w:name w:val="Normal_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6">
    <w:name w:val="Normal_4"/>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7">
    <w:name w:val="Normal_5"/>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8">
    <w:name w:val="Normal_6"/>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9">
    <w:name w:val="Normal_7"/>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0">
    <w:name w:val="Normal_8"/>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1">
    <w:name w:val="Normal_9"/>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2">
    <w:name w:val="Normal_10"/>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3">
    <w:name w:val="Normal_11"/>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4">
    <w:name w:val="Normal_1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5">
    <w:name w:val="Normal_1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6">
    <w:name w:val="Normal_14"/>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7">
    <w:name w:val="Normal_15"/>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8">
    <w:name w:val="Normal_16"/>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9">
    <w:name w:val="Normal_17"/>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0">
    <w:name w:val="Normal_19"/>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1">
    <w:name w:val="Normal_2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2">
    <w:name w:val="Normal_2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3">
    <w:name w:val="Normal_3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4">
    <w:name w:val="Normal_3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styleId="65">
    <w:name w:val="List Paragraph"/>
    <w:basedOn w:val="1"/>
    <w:qFormat/>
    <w:uiPriority w:val="1"/>
    <w:pPr>
      <w:ind w:left="720"/>
      <w:contextualSpacing/>
    </w:pPr>
  </w:style>
  <w:style w:type="character" w:customStyle="1" w:styleId="66">
    <w:name w:val="批注文字 Char"/>
    <w:basedOn w:val="34"/>
    <w:link w:val="13"/>
    <w:semiHidden/>
    <w:qFormat/>
    <w:uiPriority w:val="0"/>
    <w:rPr>
      <w:kern w:val="0"/>
      <w:sz w:val="22"/>
      <w:lang w:eastAsia="en-US"/>
    </w:rPr>
  </w:style>
  <w:style w:type="character" w:customStyle="1" w:styleId="67">
    <w:name w:val="批注主题 Char"/>
    <w:basedOn w:val="66"/>
    <w:link w:val="31"/>
    <w:semiHidden/>
    <w:qFormat/>
    <w:uiPriority w:val="0"/>
    <w:rPr>
      <w:b/>
      <w:bCs/>
      <w:kern w:val="0"/>
      <w:sz w:val="22"/>
      <w:lang w:eastAsia="en-US"/>
    </w:rPr>
  </w:style>
  <w:style w:type="paragraph" w:styleId="68">
    <w:name w:val="No Spacing"/>
    <w:link w:val="69"/>
    <w:qFormat/>
    <w:uiPriority w:val="1"/>
    <w:rPr>
      <w:rFonts w:asciiTheme="minorHAnsi" w:hAnsiTheme="minorHAnsi" w:eastAsiaTheme="minorEastAsia" w:cstheme="minorBidi"/>
      <w:sz w:val="22"/>
      <w:szCs w:val="22"/>
      <w:lang w:val="en-US" w:eastAsia="en-US" w:bidi="en-US"/>
    </w:rPr>
  </w:style>
  <w:style w:type="character" w:customStyle="1" w:styleId="69">
    <w:name w:val="无间隔 Char"/>
    <w:basedOn w:val="34"/>
    <w:link w:val="68"/>
    <w:qFormat/>
    <w:uiPriority w:val="1"/>
  </w:style>
  <w:style w:type="character" w:customStyle="1" w:styleId="70">
    <w:name w:val="日期 Char"/>
    <w:basedOn w:val="34"/>
    <w:link w:val="18"/>
    <w:semiHidden/>
    <w:qFormat/>
    <w:uiPriority w:val="99"/>
    <w:rPr>
      <w:rFonts w:ascii="Times New Roman" w:hAnsi="Times New Roman" w:eastAsia="宋体" w:cs="Times New Roman"/>
      <w:szCs w:val="24"/>
      <w:lang w:eastAsia="ja-JP"/>
    </w:rPr>
  </w:style>
  <w:style w:type="character" w:customStyle="1" w:styleId="71">
    <w:name w:val="正文文本 Char"/>
    <w:basedOn w:val="34"/>
    <w:link w:val="14"/>
    <w:qFormat/>
    <w:uiPriority w:val="0"/>
    <w:rPr>
      <w:rFonts w:ascii="Times New Roman" w:hAnsi="Times New Roman" w:eastAsia="宋体" w:cs="Times New Roman"/>
      <w:szCs w:val="24"/>
    </w:rPr>
  </w:style>
  <w:style w:type="character" w:customStyle="1" w:styleId="72">
    <w:name w:val="正文文本缩进 2 Char"/>
    <w:basedOn w:val="34"/>
    <w:link w:val="19"/>
    <w:qFormat/>
    <w:uiPriority w:val="0"/>
    <w:rPr>
      <w:rFonts w:ascii="Times New Roman" w:hAnsi="Times New Roman" w:eastAsia="宋体" w:cs="Times New Roman"/>
      <w:szCs w:val="20"/>
    </w:rPr>
  </w:style>
  <w:style w:type="paragraph" w:customStyle="1" w:styleId="73">
    <w:name w:val="1.1number"/>
    <w:basedOn w:val="1"/>
    <w:qFormat/>
    <w:uiPriority w:val="0"/>
    <w:pPr>
      <w:overflowPunct w:val="0"/>
      <w:autoSpaceDE w:val="0"/>
      <w:autoSpaceDN w:val="0"/>
      <w:adjustRightInd w:val="0"/>
      <w:ind w:left="540" w:hanging="360"/>
      <w:textAlignment w:val="baseline"/>
    </w:pPr>
    <w:rPr>
      <w:rFonts w:ascii="楷体" w:hAnsi="楷体"/>
      <w:sz w:val="28"/>
      <w:szCs w:val="20"/>
      <w:lang w:eastAsia="zh-CN"/>
    </w:rPr>
  </w:style>
  <w:style w:type="character" w:customStyle="1" w:styleId="74">
    <w:name w:val="标题 1 Char"/>
    <w:basedOn w:val="34"/>
    <w:link w:val="2"/>
    <w:qFormat/>
    <w:uiPriority w:val="9"/>
    <w:rPr>
      <w:rFonts w:asciiTheme="majorHAnsi" w:hAnsiTheme="majorHAnsi" w:eastAsiaTheme="majorEastAsia" w:cstheme="majorBidi"/>
      <w:b/>
      <w:bCs/>
      <w:color w:val="366091" w:themeColor="accent1" w:themeShade="BF"/>
      <w:sz w:val="28"/>
      <w:szCs w:val="28"/>
    </w:rPr>
  </w:style>
  <w:style w:type="paragraph" w:customStyle="1" w:styleId="75">
    <w:name w:val="TOC 标题1"/>
    <w:basedOn w:val="2"/>
    <w:next w:val="1"/>
    <w:unhideWhenUsed/>
    <w:qFormat/>
    <w:uiPriority w:val="39"/>
    <w:pPr>
      <w:outlineLvl w:val="9"/>
    </w:pPr>
  </w:style>
  <w:style w:type="character" w:customStyle="1" w:styleId="76">
    <w:name w:val="标题 2 Char"/>
    <w:basedOn w:val="34"/>
    <w:link w:val="3"/>
    <w:qFormat/>
    <w:uiPriority w:val="9"/>
    <w:rPr>
      <w:rFonts w:asciiTheme="majorHAnsi" w:hAnsiTheme="majorHAnsi" w:eastAsiaTheme="majorEastAsia" w:cstheme="majorBidi"/>
      <w:b/>
      <w:bCs/>
      <w:color w:val="4F81BD" w:themeColor="accent1"/>
      <w:sz w:val="26"/>
      <w:szCs w:val="26"/>
    </w:rPr>
  </w:style>
  <w:style w:type="character" w:customStyle="1" w:styleId="77">
    <w:name w:val="标题 3 Char"/>
    <w:basedOn w:val="34"/>
    <w:link w:val="4"/>
    <w:qFormat/>
    <w:uiPriority w:val="9"/>
    <w:rPr>
      <w:rFonts w:asciiTheme="majorHAnsi" w:hAnsiTheme="majorHAnsi" w:eastAsiaTheme="majorEastAsia" w:cstheme="majorBidi"/>
      <w:b/>
      <w:bCs/>
      <w:color w:val="4F81BD" w:themeColor="accent1"/>
    </w:rPr>
  </w:style>
  <w:style w:type="character" w:customStyle="1" w:styleId="78">
    <w:name w:val="标题 4 Char"/>
    <w:basedOn w:val="34"/>
    <w:link w:val="5"/>
    <w:qFormat/>
    <w:uiPriority w:val="9"/>
    <w:rPr>
      <w:rFonts w:asciiTheme="majorHAnsi" w:hAnsiTheme="majorHAnsi" w:eastAsiaTheme="majorEastAsia" w:cstheme="majorBidi"/>
      <w:b/>
      <w:bCs/>
      <w:i/>
      <w:iCs/>
      <w:color w:val="4F81BD" w:themeColor="accent1"/>
    </w:rPr>
  </w:style>
  <w:style w:type="character" w:customStyle="1" w:styleId="79">
    <w:name w:val="标题 5 Char"/>
    <w:basedOn w:val="34"/>
    <w:link w:val="6"/>
    <w:qFormat/>
    <w:uiPriority w:val="9"/>
    <w:rPr>
      <w:rFonts w:asciiTheme="majorHAnsi" w:hAnsiTheme="majorHAnsi" w:eastAsiaTheme="majorEastAsia" w:cstheme="majorBidi"/>
      <w:color w:val="243F61" w:themeColor="accent1" w:themeShade="7F"/>
    </w:rPr>
  </w:style>
  <w:style w:type="character" w:customStyle="1" w:styleId="80">
    <w:name w:val="标题 6 Char"/>
    <w:basedOn w:val="34"/>
    <w:link w:val="7"/>
    <w:qFormat/>
    <w:uiPriority w:val="9"/>
    <w:rPr>
      <w:rFonts w:asciiTheme="majorHAnsi" w:hAnsiTheme="majorHAnsi" w:eastAsiaTheme="majorEastAsia" w:cstheme="majorBidi"/>
      <w:i/>
      <w:iCs/>
      <w:color w:val="243F61" w:themeColor="accent1" w:themeShade="7F"/>
    </w:rPr>
  </w:style>
  <w:style w:type="character" w:customStyle="1" w:styleId="81">
    <w:name w:val="标题 7 Char"/>
    <w:basedOn w:val="34"/>
    <w:link w:val="8"/>
    <w:qFormat/>
    <w:uiPriority w:val="9"/>
    <w:rPr>
      <w:rFonts w:asciiTheme="majorHAnsi" w:hAnsiTheme="majorHAnsi" w:eastAsiaTheme="majorEastAsia" w:cstheme="majorBidi"/>
      <w:i/>
      <w:iCs/>
      <w:color w:val="3F3F3F" w:themeColor="text1" w:themeTint="BF"/>
    </w:rPr>
  </w:style>
  <w:style w:type="character" w:customStyle="1" w:styleId="82">
    <w:name w:val="标题 8 Char"/>
    <w:basedOn w:val="34"/>
    <w:link w:val="9"/>
    <w:qFormat/>
    <w:uiPriority w:val="9"/>
    <w:rPr>
      <w:rFonts w:asciiTheme="majorHAnsi" w:hAnsiTheme="majorHAnsi" w:eastAsiaTheme="majorEastAsia" w:cstheme="majorBidi"/>
      <w:color w:val="4F81BD" w:themeColor="accent1"/>
      <w:sz w:val="20"/>
      <w:szCs w:val="20"/>
    </w:rPr>
  </w:style>
  <w:style w:type="character" w:customStyle="1" w:styleId="83">
    <w:name w:val="标题 9 Char"/>
    <w:basedOn w:val="34"/>
    <w:link w:val="10"/>
    <w:qFormat/>
    <w:uiPriority w:val="9"/>
    <w:rPr>
      <w:rFonts w:asciiTheme="majorHAnsi" w:hAnsiTheme="majorHAnsi" w:eastAsiaTheme="majorEastAsia" w:cstheme="majorBidi"/>
      <w:i/>
      <w:iCs/>
      <w:color w:val="3F3F3F" w:themeColor="text1" w:themeTint="BF"/>
      <w:sz w:val="20"/>
      <w:szCs w:val="20"/>
    </w:rPr>
  </w:style>
  <w:style w:type="character" w:customStyle="1" w:styleId="84">
    <w:name w:val="标题 Char"/>
    <w:basedOn w:val="34"/>
    <w:link w:val="30"/>
    <w:qFormat/>
    <w:uiPriority w:val="10"/>
    <w:rPr>
      <w:rFonts w:asciiTheme="majorHAnsi" w:hAnsiTheme="majorHAnsi" w:eastAsiaTheme="majorEastAsia" w:cstheme="majorBidi"/>
      <w:color w:val="17365D" w:themeColor="text2" w:themeShade="BF"/>
      <w:spacing w:val="5"/>
      <w:kern w:val="28"/>
      <w:sz w:val="52"/>
      <w:szCs w:val="52"/>
    </w:rPr>
  </w:style>
  <w:style w:type="character" w:customStyle="1" w:styleId="85">
    <w:name w:val="副标题 Char"/>
    <w:basedOn w:val="34"/>
    <w:link w:val="25"/>
    <w:qFormat/>
    <w:uiPriority w:val="11"/>
    <w:rPr>
      <w:rFonts w:asciiTheme="majorHAnsi" w:hAnsiTheme="majorHAnsi" w:eastAsiaTheme="majorEastAsia" w:cstheme="majorBidi"/>
      <w:i/>
      <w:iCs/>
      <w:color w:val="4F81BD" w:themeColor="accent1"/>
      <w:spacing w:val="15"/>
      <w:sz w:val="24"/>
      <w:szCs w:val="24"/>
    </w:rPr>
  </w:style>
  <w:style w:type="paragraph" w:styleId="86">
    <w:name w:val="Quote"/>
    <w:basedOn w:val="1"/>
    <w:next w:val="1"/>
    <w:link w:val="87"/>
    <w:qFormat/>
    <w:uiPriority w:val="29"/>
    <w:rPr>
      <w:i/>
      <w:iCs/>
      <w:color w:val="000000" w:themeColor="text1"/>
    </w:rPr>
  </w:style>
  <w:style w:type="character" w:customStyle="1" w:styleId="87">
    <w:name w:val="引用 Char"/>
    <w:basedOn w:val="34"/>
    <w:link w:val="86"/>
    <w:qFormat/>
    <w:uiPriority w:val="29"/>
    <w:rPr>
      <w:i/>
      <w:iCs/>
      <w:color w:val="000000" w:themeColor="text1"/>
    </w:rPr>
  </w:style>
  <w:style w:type="paragraph" w:styleId="88">
    <w:name w:val="Intense Quote"/>
    <w:basedOn w:val="1"/>
    <w:next w:val="1"/>
    <w:link w:val="89"/>
    <w:qFormat/>
    <w:uiPriority w:val="30"/>
    <w:pPr>
      <w:pBdr>
        <w:bottom w:val="single" w:color="4F81BD" w:themeColor="accent1" w:sz="4" w:space="4"/>
      </w:pBdr>
      <w:spacing w:before="200" w:after="280"/>
      <w:ind w:left="936" w:right="936"/>
    </w:pPr>
    <w:rPr>
      <w:b/>
      <w:bCs/>
      <w:i/>
      <w:iCs/>
      <w:color w:val="4F81BD" w:themeColor="accent1"/>
    </w:rPr>
  </w:style>
  <w:style w:type="character" w:customStyle="1" w:styleId="89">
    <w:name w:val="明显引用 Char"/>
    <w:basedOn w:val="34"/>
    <w:link w:val="88"/>
    <w:qFormat/>
    <w:uiPriority w:val="30"/>
    <w:rPr>
      <w:b/>
      <w:bCs/>
      <w:i/>
      <w:iCs/>
      <w:color w:val="4F81BD" w:themeColor="accent1"/>
    </w:rPr>
  </w:style>
  <w:style w:type="character" w:customStyle="1" w:styleId="90">
    <w:name w:val="不明显强调1"/>
    <w:basedOn w:val="34"/>
    <w:qFormat/>
    <w:uiPriority w:val="19"/>
    <w:rPr>
      <w:i/>
      <w:iCs/>
      <w:color w:val="7F7F7F" w:themeColor="text1" w:themeTint="7F"/>
    </w:rPr>
  </w:style>
  <w:style w:type="character" w:customStyle="1" w:styleId="91">
    <w:name w:val="明显强调1"/>
    <w:basedOn w:val="34"/>
    <w:qFormat/>
    <w:uiPriority w:val="21"/>
    <w:rPr>
      <w:b/>
      <w:bCs/>
      <w:i/>
      <w:iCs/>
      <w:color w:val="4F81BD" w:themeColor="accent1"/>
    </w:rPr>
  </w:style>
  <w:style w:type="character" w:customStyle="1" w:styleId="92">
    <w:name w:val="不明显参考1"/>
    <w:basedOn w:val="34"/>
    <w:qFormat/>
    <w:uiPriority w:val="31"/>
    <w:rPr>
      <w:smallCaps/>
      <w:color w:val="C0504D" w:themeColor="accent2"/>
      <w:u w:val="single"/>
    </w:rPr>
  </w:style>
  <w:style w:type="character" w:customStyle="1" w:styleId="93">
    <w:name w:val="明显参考1"/>
    <w:basedOn w:val="34"/>
    <w:qFormat/>
    <w:uiPriority w:val="32"/>
    <w:rPr>
      <w:b/>
      <w:bCs/>
      <w:smallCaps/>
      <w:color w:val="C0504D" w:themeColor="accent2"/>
      <w:spacing w:val="5"/>
      <w:u w:val="single"/>
    </w:rPr>
  </w:style>
  <w:style w:type="character" w:customStyle="1" w:styleId="94">
    <w:name w:val="书籍标题1"/>
    <w:basedOn w:val="34"/>
    <w:qFormat/>
    <w:uiPriority w:val="33"/>
    <w:rPr>
      <w:b/>
      <w:bCs/>
      <w:smallCaps/>
      <w:spacing w:val="5"/>
    </w:rPr>
  </w:style>
  <w:style w:type="paragraph" w:customStyle="1" w:styleId="95">
    <w:name w:val="Normal_18"/>
    <w:qFormat/>
    <w:uiPriority w:val="0"/>
    <w:pPr>
      <w:spacing w:before="120" w:after="240"/>
      <w:jc w:val="both"/>
    </w:pPr>
    <w:rPr>
      <w:rFonts w:ascii="Calibri" w:hAnsi="Calibri" w:eastAsia="Calibri" w:cs="Times New Roman"/>
      <w:sz w:val="22"/>
      <w:szCs w:val="22"/>
      <w:lang w:val="ru-RU" w:eastAsia="en-US" w:bidi="ar-SA"/>
    </w:rPr>
  </w:style>
  <w:style w:type="paragraph" w:customStyle="1" w:styleId="96">
    <w:name w:val="Normal_20"/>
    <w:qFormat/>
    <w:uiPriority w:val="0"/>
    <w:pPr>
      <w:spacing w:before="120" w:after="240"/>
      <w:jc w:val="both"/>
    </w:pPr>
    <w:rPr>
      <w:rFonts w:ascii="Calibri" w:hAnsi="Calibri" w:eastAsia="Calibri" w:cs="Times New Roman"/>
      <w:sz w:val="22"/>
      <w:szCs w:val="22"/>
      <w:lang w:val="ru-RU" w:eastAsia="en-US" w:bidi="ar-SA"/>
    </w:rPr>
  </w:style>
  <w:style w:type="paragraph" w:customStyle="1" w:styleId="97">
    <w:name w:val="Normal_21"/>
    <w:qFormat/>
    <w:uiPriority w:val="0"/>
    <w:pPr>
      <w:spacing w:before="120" w:after="240"/>
      <w:jc w:val="both"/>
    </w:pPr>
    <w:rPr>
      <w:rFonts w:ascii="Calibri" w:hAnsi="Calibri" w:eastAsia="Calibri" w:cs="Times New Roman"/>
      <w:sz w:val="22"/>
      <w:szCs w:val="22"/>
      <w:lang w:val="ru-RU" w:eastAsia="en-US" w:bidi="ar-SA"/>
    </w:rPr>
  </w:style>
  <w:style w:type="paragraph" w:customStyle="1" w:styleId="98">
    <w:name w:val="Default"/>
    <w:qFormat/>
    <w:uiPriority w:val="0"/>
    <w:pPr>
      <w:widowControl w:val="0"/>
      <w:autoSpaceDE w:val="0"/>
      <w:autoSpaceDN w:val="0"/>
      <w:adjustRightInd w:val="0"/>
    </w:pPr>
    <w:rPr>
      <w:rFonts w:ascii="仿宋" w:eastAsia="仿宋" w:cs="仿宋" w:hAnsiTheme="minorHAnsi"/>
      <w:color w:val="000000"/>
      <w:sz w:val="24"/>
      <w:szCs w:val="24"/>
      <w:lang w:val="en-US" w:eastAsia="zh-CN" w:bidi="ar-SA"/>
    </w:rPr>
  </w:style>
  <w:style w:type="paragraph" w:customStyle="1" w:styleId="99">
    <w:name w:val="Table Text"/>
    <w:basedOn w:val="1"/>
    <w:semiHidden/>
    <w:qFormat/>
    <w:uiPriority w:val="0"/>
    <w:pPr>
      <w:kinsoku w:val="0"/>
      <w:autoSpaceDE w:val="0"/>
      <w:autoSpaceDN w:val="0"/>
      <w:adjustRightInd w:val="0"/>
      <w:snapToGrid w:val="0"/>
      <w:spacing w:after="0"/>
      <w:textAlignment w:val="baseline"/>
    </w:pPr>
    <w:rPr>
      <w:rFonts w:ascii="宋体" w:hAnsi="宋体" w:eastAsia="宋体" w:cs="宋体"/>
      <w:snapToGrid w:val="0"/>
      <w:color w:val="000000"/>
      <w:sz w:val="24"/>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hpExts>
    <customShpInfo spid="_x0000_s106499"/>
    <customShpInfo spid="_x0000_s106498"/>
    <customShpInfo spid="_x0000_s106497"/>
    <customShpInfo spid="_x0000_s1029"/>
    <customShpInfo spid="_x0000_s1030"/>
    <customShpInfo spid="_x0000_s1031"/>
    <customShpInfo spid="_x0000_s1034"/>
    <customShpInfo spid="_x0000_s1043"/>
    <customShpInfo spid="_x0000_s1044"/>
    <customShpInfo spid="_x0000_s1036"/>
    <customShpInfo spid="_x0000_s1037"/>
    <customShpInfo spid="_x0000_s1045"/>
    <customShpInfo spid="_x0000_s1035"/>
    <customShpInfo spid="_x0000_s1033"/>
    <customShpInfo spid="_x0000_s1032"/>
    <customShpInfo spid="_x0000_s1038"/>
    <customShpInfo spid="_x0000_s1039"/>
    <customShpInfo spid="_x0000_s1040"/>
    <customShpInfo spid="_x0000_s1041"/>
    <customShpInfo spid="_x0000_s1042"/>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3.xml><?xml version="1.0" encoding="utf-8"?>
<CoverPageProperties xmlns="http://schemas.microsoft.com/office/2006/coverPageProps">
  <PublishDate/>
  <Abstract>发布日期：2025年03月30日    修改日期：2026年04月08日     实施日期：2025年03月30日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3AE474-BD5D-46A8-8F7E-15D9FBCC139C}">
  <ds:schemaRefs/>
</ds:datastoreItem>
</file>

<file path=customXml/itemProps3.xml><?xml version="1.0" encoding="utf-8"?>
<ds:datastoreItem xmlns:ds="http://schemas.openxmlformats.org/officeDocument/2006/customXml" ds:itemID="{55AF091B-3C7A-41E3-B477-F2FDAA23CFDA}">
  <ds:schemaRefs/>
</ds:datastoreItem>
</file>

<file path=docProps/app.xml><?xml version="1.0" encoding="utf-8"?>
<Properties xmlns="http://schemas.openxmlformats.org/officeDocument/2006/extended-properties" xmlns:vt="http://schemas.openxmlformats.org/officeDocument/2006/docPropsVTypes">
  <Template>Normal</Template>
  <Company>                       S &amp; P International Certification (Shenzhen) Co., LTD</Company>
  <Pages>24</Pages>
  <Words>12116</Words>
  <Characters>13219</Characters>
  <Lines>136</Lines>
  <Paragraphs>38</Paragraphs>
  <TotalTime>611</TotalTime>
  <ScaleCrop>false</ScaleCrop>
  <LinksUpToDate>false</LinksUpToDate>
  <CharactersWithSpaces>13599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2025-06-10T02:36:00Z</dcterms:created>
  <dc:creator>Dell</dc:creator>
  <cp:lastModifiedBy>红楼梦</cp:lastModifiedBy>
  <dcterms:modified xsi:type="dcterms:W3CDTF">2026-04-22T09:35:28Z</dcterms:modified>
  <dc:subject>S&amp;P-XZ-45-2023</dc:subject>
  <dc:title>企业诚信管理体系认证实施规则</dc:title>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76CE1AC885734526A19BA65CA3D0AB87</vt:lpwstr>
  </property>
  <property fmtid="{D5CDD505-2E9C-101B-9397-08002B2CF9AE}" pid="4" name="KSOTemplateDocerSaveRecord">
    <vt:lpwstr>eyJoZGlkIjoiNDc2OTY2MTQ4MTk1OGE2ZWU2YWQ2MzRmMzBkNmRkODYiLCJ1c2VySWQiOiIzNTUwNzc2MDYifQ==</vt:lpwstr>
  </property>
</Properties>
</file>