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2"/>
        <w:tblpPr w:leftFromText="180" w:rightFromText="180" w:vertAnchor="page" w:horzAnchor="page" w:tblpX="999" w:tblpY="1130"/>
        <w:tblOverlap w:val="never"/>
        <w:tblW w:w="5000" w:type="pct"/>
        <w:tblInd w:w="0" w:type="dxa"/>
        <w:tblLayout w:type="autofit"/>
        <w:tblCellMar>
          <w:top w:w="0" w:type="dxa"/>
          <w:left w:w="108" w:type="dxa"/>
          <w:bottom w:w="0" w:type="dxa"/>
          <w:right w:w="108" w:type="dxa"/>
        </w:tblCellMar>
      </w:tblPr>
      <w:tblGrid>
        <w:gridCol w:w="10082"/>
      </w:tblGrid>
      <w:tr w14:paraId="1DCBA865">
        <w:tblPrEx>
          <w:tblCellMar>
            <w:top w:w="0" w:type="dxa"/>
            <w:left w:w="108" w:type="dxa"/>
            <w:bottom w:w="0" w:type="dxa"/>
            <w:right w:w="108" w:type="dxa"/>
          </w:tblCellMar>
        </w:tblPrEx>
        <w:trPr>
          <w:trHeight w:val="2880" w:hRule="atLeast"/>
        </w:trPr>
        <w:tc>
          <w:tcPr>
            <w:tcW w:w="5000" w:type="pct"/>
          </w:tcPr>
          <w:p w14:paraId="68CC4AA9">
            <w:pPr>
              <w:pStyle w:val="73"/>
              <w:jc w:val="center"/>
              <w:rPr>
                <w:rFonts w:ascii="Times New Roman" w:hAnsi="Times New Roman" w:eastAsia="方正粗宋_GBK" w:cs="Times New Roman"/>
                <w:sz w:val="32"/>
                <w:szCs w:val="32"/>
              </w:rPr>
            </w:pPr>
            <w:r>
              <w:rPr>
                <w:rFonts w:hint="eastAsia" w:ascii="方正粗宋_GBK" w:hAnsi="黑体" w:eastAsia="方正粗宋_GBK"/>
                <w:sz w:val="36"/>
                <w:szCs w:val="36"/>
              </w:rPr>
              <w:t>标普国际认证（深圳）有限责任公司</w:t>
            </w:r>
            <w:sdt>
              <w:sdtPr>
                <w:rPr>
                  <w:rFonts w:ascii="Times New Roman" w:hAnsi="Times New Roman" w:eastAsia="方正粗宋_GBK" w:cs="Times New Roman"/>
                  <w:sz w:val="36"/>
                  <w:szCs w:val="36"/>
                </w:rPr>
                <w:alias w:val="公司"/>
                <w:id w:val="15524243"/>
                <w:dataBinding w:prefixMappings="xmlns:ns0='http://schemas.openxmlformats.org/officeDocument/2006/extended-properties'" w:xpath="/ns0:Properties[1]/ns0:Company[1]" w:storeItemID="{6668398D-A668-4E3E-A5EB-62B293D839F1}"/>
                <w:text/>
              </w:sdtPr>
              <w:sdtEndPr>
                <w:rPr>
                  <w:rFonts w:ascii="Times New Roman" w:hAnsi="Times New Roman" w:eastAsia="方正粗宋_GBK" w:cs="Times New Roman"/>
                  <w:sz w:val="36"/>
                  <w:szCs w:val="36"/>
                </w:rPr>
              </w:sdtEndPr>
              <w:sdtContent>
                <w:r>
                  <w:rPr>
                    <w:rFonts w:hint="eastAsia" w:ascii="Times New Roman" w:hAnsi="Times New Roman" w:eastAsia="方正粗宋_GBK" w:cs="Times New Roman"/>
                    <w:sz w:val="36"/>
                    <w:szCs w:val="36"/>
                  </w:rPr>
                  <w:t xml:space="preserve">                       S &amp; P International Certification (Shenzhen) Co., LTD</w:t>
                </w:r>
              </w:sdtContent>
            </w:sdt>
          </w:p>
          <w:p w14:paraId="4C1B399A">
            <w:pPr>
              <w:tabs>
                <w:tab w:val="left" w:pos="6407"/>
              </w:tabs>
              <w:jc w:val="center"/>
              <w:rPr>
                <w:lang w:eastAsia="zh-CN"/>
              </w:rPr>
            </w:pPr>
            <w:r>
              <w:rPr>
                <w:lang w:eastAsia="zh-CN" w:bidi="ar-SA"/>
              </w:rPr>
              <w:drawing>
                <wp:inline distT="0" distB="0" distL="0" distR="0">
                  <wp:extent cx="2369185" cy="1668780"/>
                  <wp:effectExtent l="19050" t="0" r="0" b="0"/>
                  <wp:docPr id="5" name="图片 2" descr="F:\01 各认证机构资料\06 标普认证\证书\胡国明发来样板\S&amp;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descr="F:\01 各认证机构资料\06 标普认证\证书\胡国明发来样板\S&amp;P.jpg"/>
                          <pic:cNvPicPr>
                            <a:picLocks noChangeAspect="1" noChangeArrowheads="1"/>
                          </pic:cNvPicPr>
                        </pic:nvPicPr>
                        <pic:blipFill>
                          <a:blip r:embed="rId8"/>
                          <a:srcRect/>
                          <a:stretch>
                            <a:fillRect/>
                          </a:stretch>
                        </pic:blipFill>
                        <pic:spPr>
                          <a:xfrm>
                            <a:off x="0" y="0"/>
                            <a:ext cx="2373027" cy="1671838"/>
                          </a:xfrm>
                          <a:prstGeom prst="rect">
                            <a:avLst/>
                          </a:prstGeom>
                          <a:noFill/>
                          <a:ln w="9525">
                            <a:noFill/>
                            <a:miter lim="800000"/>
                            <a:headEnd/>
                            <a:tailEnd/>
                          </a:ln>
                        </pic:spPr>
                      </pic:pic>
                    </a:graphicData>
                  </a:graphic>
                </wp:inline>
              </w:drawing>
            </w:r>
          </w:p>
          <w:p w14:paraId="6339A75E">
            <w:pPr>
              <w:tabs>
                <w:tab w:val="left" w:pos="6407"/>
              </w:tabs>
              <w:rPr>
                <w:lang w:eastAsia="zh-CN"/>
              </w:rPr>
            </w:pPr>
          </w:p>
          <w:p w14:paraId="49D04E5D">
            <w:pPr>
              <w:tabs>
                <w:tab w:val="left" w:pos="6407"/>
              </w:tabs>
              <w:rPr>
                <w:lang w:eastAsia="zh-CN"/>
              </w:rPr>
            </w:pPr>
          </w:p>
        </w:tc>
      </w:tr>
      <w:tr w14:paraId="411028A6">
        <w:tblPrEx>
          <w:tblCellMar>
            <w:top w:w="0" w:type="dxa"/>
            <w:left w:w="108" w:type="dxa"/>
            <w:bottom w:w="0" w:type="dxa"/>
            <w:right w:w="108" w:type="dxa"/>
          </w:tblCellMar>
        </w:tblPrEx>
        <w:trPr>
          <w:trHeight w:val="1440" w:hRule="atLeast"/>
        </w:trPr>
        <w:sdt>
          <w:sdtPr>
            <w:rPr>
              <w:rFonts w:hint="eastAsia" w:ascii="黑体" w:hAnsi="黑体" w:eastAsia="黑体"/>
              <w:color w:val="000000" w:themeColor="text1"/>
              <w:sz w:val="36"/>
              <w:szCs w:val="36"/>
              <w:lang w:eastAsia="zh-CN"/>
            </w:rPr>
            <w:alias w:val="标题"/>
            <w:id w:val="15524250"/>
            <w:dataBinding w:prefixMappings="xmlns:ns0='http://schemas.openxmlformats.org/package/2006/metadata/core-properties' xmlns:ns1='http://purl.org/dc/elements/1.1/'" w:xpath="/ns0:coreProperties[1]/ns1:title[1]" w:storeItemID="{6C3C8BC8-F283-45AE-878A-BAB7291924A1}"/>
            <w:text/>
          </w:sdtPr>
          <w:sdtEndPr>
            <w:rPr>
              <w:rFonts w:hint="eastAsia" w:ascii="黑体" w:hAnsi="黑体" w:eastAsia="黑体"/>
              <w:color w:val="000000" w:themeColor="text1"/>
              <w:sz w:val="36"/>
              <w:szCs w:val="36"/>
              <w:lang w:eastAsia="zh-CN"/>
            </w:rPr>
          </w:sdtEndPr>
          <w:sdtContent>
            <w:tc>
              <w:tcPr>
                <w:tcW w:w="5000" w:type="pct"/>
                <w:tcBorders>
                  <w:bottom w:val="single" w:color="4F81BD" w:themeColor="accent1" w:sz="4" w:space="0"/>
                </w:tcBorders>
                <w:vAlign w:val="center"/>
              </w:tcPr>
              <w:p w14:paraId="1DEA162E">
                <w:pPr>
                  <w:pStyle w:val="68"/>
                  <w:jc w:val="center"/>
                  <w:rPr>
                    <w:rFonts w:ascii="黑体" w:hAnsi="黑体" w:eastAsia="黑体" w:cstheme="majorBidi"/>
                    <w:sz w:val="36"/>
                    <w:szCs w:val="36"/>
                    <w:lang w:eastAsia="zh-CN"/>
                  </w:rPr>
                </w:pPr>
                <w:r>
                  <w:rPr>
                    <w:rFonts w:hint="eastAsia" w:ascii="黑体" w:hAnsi="黑体" w:eastAsia="黑体"/>
                    <w:color w:val="000000" w:themeColor="text1"/>
                    <w:sz w:val="36"/>
                    <w:szCs w:val="36"/>
                    <w:lang w:eastAsia="zh-CN"/>
                  </w:rPr>
                  <w:t>有害物质过程</w:t>
                </w:r>
                <w:r>
                  <w:rPr>
                    <w:rFonts w:hint="eastAsia" w:ascii="黑体" w:hAnsi="黑体" w:eastAsia="黑体"/>
                    <w:sz w:val="36"/>
                    <w:szCs w:val="36"/>
                    <w:lang w:eastAsia="zh-CN"/>
                  </w:rPr>
                  <w:t>管理体系认证实施规则</w:t>
                </w:r>
              </w:p>
            </w:tc>
          </w:sdtContent>
        </w:sdt>
      </w:tr>
      <w:tr w14:paraId="4F8C7495">
        <w:tblPrEx>
          <w:tblCellMar>
            <w:top w:w="0" w:type="dxa"/>
            <w:left w:w="108" w:type="dxa"/>
            <w:bottom w:w="0" w:type="dxa"/>
            <w:right w:w="108" w:type="dxa"/>
          </w:tblCellMar>
        </w:tblPrEx>
        <w:trPr>
          <w:trHeight w:val="720" w:hRule="atLeast"/>
        </w:trPr>
        <w:sdt>
          <w:sdtPr>
            <w:rPr>
              <w:rFonts w:ascii="Times New Roman" w:hAnsi="Times New Roman" w:eastAsia="黑体" w:cs="Times New Roman"/>
              <w:sz w:val="28"/>
              <w:szCs w:val="28"/>
            </w:rPr>
            <w:alias w:val="副标题"/>
            <w:id w:val="15524255"/>
            <w:dataBinding w:prefixMappings="xmlns:ns0='http://schemas.openxmlformats.org/package/2006/metadata/core-properties' xmlns:ns1='http://purl.org/dc/elements/1.1/'" w:xpath="/ns0:coreProperties[1]/ns1:subject[1]" w:storeItemID="{6C3C8BC8-F283-45AE-878A-BAB7291924A1}"/>
            <w:text/>
          </w:sdtPr>
          <w:sdtEndPr>
            <w:rPr>
              <w:rFonts w:ascii="Times New Roman" w:hAnsi="Times New Roman" w:eastAsia="黑体" w:cs="Times New Roman"/>
              <w:sz w:val="28"/>
              <w:szCs w:val="28"/>
            </w:rPr>
          </w:sdtEndPr>
          <w:sdtContent>
            <w:tc>
              <w:tcPr>
                <w:tcW w:w="5000" w:type="pct"/>
                <w:tcBorders>
                  <w:top w:val="single" w:color="4F81BD" w:themeColor="accent1" w:sz="4" w:space="0"/>
                </w:tcBorders>
                <w:vAlign w:val="center"/>
              </w:tcPr>
              <w:p w14:paraId="756C1402">
                <w:pPr>
                  <w:pStyle w:val="68"/>
                  <w:jc w:val="center"/>
                  <w:rPr>
                    <w:rFonts w:ascii="黑体" w:hAnsi="黑体" w:eastAsia="黑体" w:cstheme="majorBidi"/>
                    <w:sz w:val="44"/>
                    <w:szCs w:val="44"/>
                  </w:rPr>
                </w:pPr>
                <w:r>
                  <w:rPr>
                    <w:rFonts w:hint="eastAsia" w:ascii="Times New Roman" w:hAnsi="Times New Roman" w:eastAsia="黑体" w:cs="Times New Roman"/>
                    <w:sz w:val="28"/>
                    <w:szCs w:val="28"/>
                    <w:lang w:eastAsia="zh-CN"/>
                  </w:rPr>
                  <w:t>S&amp;P-XZ-79-2025</w:t>
                </w:r>
              </w:p>
            </w:tc>
          </w:sdtContent>
        </w:sdt>
      </w:tr>
      <w:tr w14:paraId="14D164D0">
        <w:tblPrEx>
          <w:tblCellMar>
            <w:top w:w="0" w:type="dxa"/>
            <w:left w:w="108" w:type="dxa"/>
            <w:bottom w:w="0" w:type="dxa"/>
            <w:right w:w="108" w:type="dxa"/>
          </w:tblCellMar>
        </w:tblPrEx>
        <w:trPr>
          <w:trHeight w:val="360" w:hRule="atLeast"/>
        </w:trPr>
        <w:tc>
          <w:tcPr>
            <w:tcW w:w="5000" w:type="pct"/>
            <w:vAlign w:val="center"/>
          </w:tcPr>
          <w:p w14:paraId="4457323E">
            <w:pPr>
              <w:pStyle w:val="68"/>
              <w:jc w:val="center"/>
            </w:pPr>
          </w:p>
        </w:tc>
      </w:tr>
      <w:tr w14:paraId="7DB094AF">
        <w:tblPrEx>
          <w:tblCellMar>
            <w:top w:w="0" w:type="dxa"/>
            <w:left w:w="108" w:type="dxa"/>
            <w:bottom w:w="0" w:type="dxa"/>
            <w:right w:w="108" w:type="dxa"/>
          </w:tblCellMar>
        </w:tblPrEx>
        <w:trPr>
          <w:trHeight w:val="360" w:hRule="atLeast"/>
        </w:trPr>
        <w:tc>
          <w:tcPr>
            <w:tcW w:w="5000" w:type="pct"/>
            <w:vAlign w:val="center"/>
          </w:tcPr>
          <w:p w14:paraId="2F4486E7">
            <w:pPr>
              <w:pStyle w:val="68"/>
              <w:jc w:val="center"/>
              <w:rPr>
                <w:b/>
                <w:bCs/>
              </w:rPr>
            </w:pPr>
          </w:p>
        </w:tc>
      </w:tr>
      <w:tr w14:paraId="0ECC45F2">
        <w:tblPrEx>
          <w:tblCellMar>
            <w:top w:w="0" w:type="dxa"/>
            <w:left w:w="108" w:type="dxa"/>
            <w:bottom w:w="0" w:type="dxa"/>
            <w:right w:w="108" w:type="dxa"/>
          </w:tblCellMar>
        </w:tblPrEx>
        <w:trPr>
          <w:trHeight w:val="360" w:hRule="atLeast"/>
        </w:trPr>
        <w:tc>
          <w:tcPr>
            <w:tcW w:w="5000" w:type="pct"/>
            <w:vAlign w:val="center"/>
          </w:tcPr>
          <w:tbl>
            <w:tblPr>
              <w:tblStyle w:val="33"/>
              <w:tblW w:w="0" w:type="auto"/>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214"/>
              <w:gridCol w:w="2215"/>
            </w:tblGrid>
            <w:tr w14:paraId="55253D5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36" w:hRule="atLeast"/>
                <w:jc w:val="center"/>
              </w:trPr>
              <w:tc>
                <w:tcPr>
                  <w:tcW w:w="2214" w:type="dxa"/>
                </w:tcPr>
                <w:p w14:paraId="273132B3">
                  <w:pPr>
                    <w:pStyle w:val="68"/>
                    <w:jc w:val="center"/>
                    <w:rPr>
                      <w:b/>
                      <w:bCs/>
                      <w:sz w:val="28"/>
                      <w:szCs w:val="28"/>
                    </w:rPr>
                  </w:pPr>
                  <w:r>
                    <w:rPr>
                      <w:b/>
                      <w:bCs/>
                      <w:sz w:val="28"/>
                      <w:szCs w:val="28"/>
                    </w:rPr>
                    <w:t>受控状态</w:t>
                  </w:r>
                </w:p>
              </w:tc>
              <w:tc>
                <w:tcPr>
                  <w:tcW w:w="2215" w:type="dxa"/>
                </w:tcPr>
                <w:p w14:paraId="39BF5245">
                  <w:pPr>
                    <w:pStyle w:val="68"/>
                    <w:jc w:val="center"/>
                    <w:rPr>
                      <w:b/>
                      <w:bCs/>
                      <w:sz w:val="28"/>
                      <w:szCs w:val="28"/>
                    </w:rPr>
                  </w:pPr>
                  <w:r>
                    <w:rPr>
                      <w:rFonts w:ascii="宋体" w:cs="宋体"/>
                      <w:b/>
                      <w:sz w:val="28"/>
                      <w:szCs w:val="28"/>
                      <w:lang w:eastAsia="zh-CN" w:bidi="ar-SA"/>
                    </w:rPr>
                    <w:drawing>
                      <wp:inline distT="0" distB="0" distL="114300" distR="114300">
                        <wp:extent cx="561975" cy="3619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561975" cy="361950"/>
                                </a:xfrm>
                                <a:prstGeom prst="rect">
                                  <a:avLst/>
                                </a:prstGeom>
                                <a:noFill/>
                                <a:ln>
                                  <a:noFill/>
                                </a:ln>
                              </pic:spPr>
                            </pic:pic>
                          </a:graphicData>
                        </a:graphic>
                      </wp:inline>
                    </w:drawing>
                  </w:r>
                </w:p>
              </w:tc>
            </w:tr>
            <w:tr w14:paraId="5A88740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6" w:hRule="atLeast"/>
                <w:jc w:val="center"/>
              </w:trPr>
              <w:tc>
                <w:tcPr>
                  <w:tcW w:w="2214" w:type="dxa"/>
                </w:tcPr>
                <w:p w14:paraId="292DAAF1">
                  <w:pPr>
                    <w:pStyle w:val="68"/>
                    <w:jc w:val="center"/>
                    <w:rPr>
                      <w:b/>
                      <w:bCs/>
                      <w:sz w:val="28"/>
                      <w:szCs w:val="28"/>
                    </w:rPr>
                  </w:pPr>
                  <w:r>
                    <w:rPr>
                      <w:b/>
                      <w:bCs/>
                      <w:sz w:val="28"/>
                      <w:szCs w:val="28"/>
                    </w:rPr>
                    <w:t>版本</w:t>
                  </w:r>
                </w:p>
              </w:tc>
              <w:tc>
                <w:tcPr>
                  <w:tcW w:w="2215" w:type="dxa"/>
                </w:tcPr>
                <w:p w14:paraId="17C4B578">
                  <w:pPr>
                    <w:pStyle w:val="68"/>
                    <w:spacing w:line="360" w:lineRule="auto"/>
                    <w:jc w:val="center"/>
                    <w:rPr>
                      <w:rFonts w:ascii="Times New Roman" w:hAnsi="Times New Roman" w:cs="Times New Roman"/>
                      <w:b/>
                      <w:bCs/>
                      <w:sz w:val="28"/>
                      <w:szCs w:val="28"/>
                      <w:lang w:eastAsia="zh-CN"/>
                    </w:rPr>
                  </w:pPr>
                  <w:r>
                    <w:rPr>
                      <w:rFonts w:ascii="Times New Roman" w:hAnsi="Times New Roman" w:cs="Times New Roman"/>
                      <w:b/>
                      <w:bCs/>
                      <w:sz w:val="28"/>
                      <w:szCs w:val="28"/>
                      <w:lang w:eastAsia="zh-CN"/>
                    </w:rPr>
                    <w:t>C/0</w:t>
                  </w:r>
                </w:p>
              </w:tc>
            </w:tr>
          </w:tbl>
          <w:p w14:paraId="6E747987">
            <w:pPr>
              <w:pStyle w:val="68"/>
              <w:jc w:val="center"/>
              <w:rPr>
                <w:b/>
                <w:bCs/>
              </w:rPr>
            </w:pPr>
          </w:p>
        </w:tc>
      </w:tr>
    </w:tbl>
    <w:p w14:paraId="1F959AD6">
      <w:pPr>
        <w:rPr>
          <w:lang w:eastAsia="zh-CN"/>
        </w:rPr>
      </w:pPr>
    </w:p>
    <w:p w14:paraId="628742EF">
      <w:pPr>
        <w:rPr>
          <w:lang w:eastAsia="zh-CN"/>
        </w:rPr>
      </w:pPr>
    </w:p>
    <w:tbl>
      <w:tblPr>
        <w:tblStyle w:val="33"/>
        <w:tblW w:w="0" w:type="auto"/>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882"/>
        <w:gridCol w:w="1882"/>
        <w:gridCol w:w="1883"/>
        <w:gridCol w:w="2718"/>
      </w:tblGrid>
      <w:tr w14:paraId="63C8457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rPr>
          <w:trHeight w:val="588" w:hRule="atLeast"/>
          <w:jc w:val="center"/>
        </w:trPr>
        <w:tc>
          <w:tcPr>
            <w:tcW w:w="1882" w:type="dxa"/>
            <w:vAlign w:val="center"/>
          </w:tcPr>
          <w:p w14:paraId="58824C37">
            <w:pPr>
              <w:pStyle w:val="68"/>
              <w:jc w:val="center"/>
              <w:rPr>
                <w:bCs/>
                <w:sz w:val="24"/>
                <w:szCs w:val="24"/>
              </w:rPr>
            </w:pPr>
            <w:r>
              <w:rPr>
                <w:bCs/>
                <w:sz w:val="24"/>
                <w:szCs w:val="24"/>
              </w:rPr>
              <w:t>编制</w:t>
            </w:r>
          </w:p>
        </w:tc>
        <w:tc>
          <w:tcPr>
            <w:tcW w:w="1882" w:type="dxa"/>
            <w:tcBorders>
              <w:right w:val="single" w:color="auto" w:sz="4" w:space="0"/>
            </w:tcBorders>
            <w:vAlign w:val="center"/>
          </w:tcPr>
          <w:p w14:paraId="2F09C23A">
            <w:pPr>
              <w:pStyle w:val="68"/>
              <w:jc w:val="center"/>
              <w:rPr>
                <w:bCs/>
                <w:sz w:val="24"/>
                <w:szCs w:val="24"/>
              </w:rPr>
            </w:pPr>
            <w:r>
              <w:rPr>
                <w:bCs/>
                <w:sz w:val="24"/>
                <w:szCs w:val="24"/>
              </w:rPr>
              <w:t>审核</w:t>
            </w:r>
          </w:p>
        </w:tc>
        <w:tc>
          <w:tcPr>
            <w:tcW w:w="1883" w:type="dxa"/>
            <w:tcBorders>
              <w:left w:val="single" w:color="auto" w:sz="4" w:space="0"/>
              <w:right w:val="single" w:color="auto" w:sz="4" w:space="0"/>
            </w:tcBorders>
            <w:vAlign w:val="center"/>
          </w:tcPr>
          <w:p w14:paraId="7FCD9EBC">
            <w:pPr>
              <w:pStyle w:val="68"/>
              <w:jc w:val="center"/>
              <w:rPr>
                <w:bCs/>
                <w:sz w:val="24"/>
                <w:szCs w:val="24"/>
              </w:rPr>
            </w:pPr>
            <w:r>
              <w:rPr>
                <w:bCs/>
                <w:sz w:val="24"/>
                <w:szCs w:val="24"/>
              </w:rPr>
              <w:t>批准</w:t>
            </w:r>
          </w:p>
        </w:tc>
        <w:tc>
          <w:tcPr>
            <w:tcW w:w="2718" w:type="dxa"/>
            <w:tcBorders>
              <w:left w:val="single" w:color="auto" w:sz="4" w:space="0"/>
            </w:tcBorders>
            <w:vAlign w:val="center"/>
          </w:tcPr>
          <w:p w14:paraId="40BB69F8">
            <w:pPr>
              <w:pStyle w:val="68"/>
              <w:jc w:val="center"/>
              <w:rPr>
                <w:bCs/>
                <w:sz w:val="24"/>
                <w:szCs w:val="24"/>
              </w:rPr>
            </w:pPr>
            <w:r>
              <w:rPr>
                <w:bCs/>
                <w:sz w:val="24"/>
                <w:szCs w:val="24"/>
              </w:rPr>
              <w:t>日期</w:t>
            </w:r>
          </w:p>
        </w:tc>
      </w:tr>
      <w:tr w14:paraId="46C8CCB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05" w:hRule="atLeast"/>
          <w:jc w:val="center"/>
        </w:trPr>
        <w:tc>
          <w:tcPr>
            <w:tcW w:w="1882" w:type="dxa"/>
            <w:vAlign w:val="center"/>
          </w:tcPr>
          <w:p w14:paraId="638BF8D2">
            <w:pPr>
              <w:pStyle w:val="68"/>
              <w:jc w:val="center"/>
              <w:rPr>
                <w:rFonts w:asciiTheme="minorEastAsia" w:hAnsiTheme="minorEastAsia"/>
                <w:bCs/>
                <w:sz w:val="24"/>
                <w:szCs w:val="24"/>
              </w:rPr>
            </w:pPr>
            <w:r>
              <w:rPr>
                <w:rFonts w:asciiTheme="minorEastAsia" w:hAnsiTheme="minorEastAsia"/>
                <w:bCs/>
                <w:sz w:val="24"/>
                <w:szCs w:val="24"/>
              </w:rPr>
              <w:t>技术部</w:t>
            </w:r>
          </w:p>
        </w:tc>
        <w:tc>
          <w:tcPr>
            <w:tcW w:w="1882" w:type="dxa"/>
            <w:tcBorders>
              <w:right w:val="single" w:color="auto" w:sz="4" w:space="0"/>
            </w:tcBorders>
            <w:vAlign w:val="center"/>
          </w:tcPr>
          <w:p w14:paraId="1BB582A4">
            <w:pPr>
              <w:pStyle w:val="68"/>
              <w:jc w:val="center"/>
              <w:rPr>
                <w:rFonts w:asciiTheme="minorEastAsia" w:hAnsiTheme="minorEastAsia"/>
                <w:bCs/>
                <w:sz w:val="24"/>
                <w:szCs w:val="24"/>
                <w:lang w:eastAsia="zh-CN"/>
              </w:rPr>
            </w:pPr>
            <w:r>
              <w:rPr>
                <w:rFonts w:hint="eastAsia" w:asciiTheme="minorEastAsia" w:hAnsiTheme="minorEastAsia"/>
                <w:bCs/>
                <w:sz w:val="24"/>
                <w:szCs w:val="24"/>
                <w:lang w:eastAsia="zh-CN"/>
              </w:rPr>
              <w:t>刘顺桥</w:t>
            </w:r>
          </w:p>
        </w:tc>
        <w:tc>
          <w:tcPr>
            <w:tcW w:w="1883" w:type="dxa"/>
            <w:tcBorders>
              <w:left w:val="single" w:color="auto" w:sz="4" w:space="0"/>
              <w:right w:val="single" w:color="auto" w:sz="4" w:space="0"/>
            </w:tcBorders>
            <w:vAlign w:val="center"/>
          </w:tcPr>
          <w:p w14:paraId="53B51AB2">
            <w:pPr>
              <w:pStyle w:val="68"/>
              <w:jc w:val="center"/>
              <w:rPr>
                <w:rFonts w:asciiTheme="minorEastAsia" w:hAnsiTheme="minorEastAsia"/>
                <w:bCs/>
                <w:sz w:val="24"/>
                <w:szCs w:val="24"/>
                <w:lang w:eastAsia="zh-CN"/>
              </w:rPr>
            </w:pPr>
            <w:r>
              <w:rPr>
                <w:rFonts w:hint="eastAsia" w:asciiTheme="minorEastAsia" w:hAnsiTheme="minorEastAsia"/>
                <w:bCs/>
                <w:sz w:val="24"/>
                <w:szCs w:val="24"/>
                <w:lang w:eastAsia="zh-CN"/>
              </w:rPr>
              <w:t>罗维</w:t>
            </w:r>
          </w:p>
        </w:tc>
        <w:tc>
          <w:tcPr>
            <w:tcW w:w="2718" w:type="dxa"/>
            <w:tcBorders>
              <w:left w:val="single" w:color="auto" w:sz="4" w:space="0"/>
            </w:tcBorders>
            <w:vAlign w:val="center"/>
          </w:tcPr>
          <w:p w14:paraId="1067264E">
            <w:pPr>
              <w:pStyle w:val="68"/>
              <w:jc w:val="center"/>
              <w:rPr>
                <w:rFonts w:ascii="Times New Roman" w:hAnsi="Times New Roman" w:cs="Times New Roman"/>
                <w:bCs/>
                <w:sz w:val="24"/>
                <w:szCs w:val="24"/>
                <w:lang w:eastAsia="zh-CN"/>
              </w:rPr>
            </w:pPr>
            <w:bookmarkStart w:id="0" w:name="OLE_LINK4"/>
            <w:bookmarkStart w:id="1" w:name="OLE_LINK3"/>
            <w:r>
              <w:rPr>
                <w:rFonts w:ascii="Times New Roman" w:hAnsi="Times New Roman" w:cs="Times New Roman"/>
                <w:bCs/>
                <w:sz w:val="24"/>
                <w:szCs w:val="24"/>
                <w:lang w:eastAsia="zh-CN"/>
              </w:rPr>
              <w:t>202</w:t>
            </w:r>
            <w:r>
              <w:rPr>
                <w:rFonts w:hint="eastAsia" w:ascii="Times New Roman" w:hAnsi="Times New Roman" w:cs="Times New Roman"/>
                <w:bCs/>
                <w:sz w:val="24"/>
                <w:szCs w:val="24"/>
                <w:lang w:eastAsia="zh-CN"/>
              </w:rPr>
              <w:t>6</w:t>
            </w:r>
            <w:r>
              <w:rPr>
                <w:rFonts w:ascii="Times New Roman" w:cs="Times New Roman" w:hAnsiTheme="minorEastAsia"/>
                <w:bCs/>
                <w:sz w:val="24"/>
                <w:szCs w:val="24"/>
                <w:lang w:eastAsia="zh-CN"/>
              </w:rPr>
              <w:t>年</w:t>
            </w:r>
            <w:r>
              <w:rPr>
                <w:rFonts w:ascii="Times New Roman" w:hAnsi="Times New Roman" w:cs="Times New Roman"/>
                <w:bCs/>
                <w:sz w:val="24"/>
                <w:szCs w:val="24"/>
                <w:lang w:eastAsia="zh-CN"/>
              </w:rPr>
              <w:t>0</w:t>
            </w:r>
            <w:r>
              <w:rPr>
                <w:rFonts w:hint="eastAsia" w:ascii="Times New Roman" w:hAnsi="Times New Roman" w:cs="Times New Roman"/>
                <w:bCs/>
                <w:sz w:val="24"/>
                <w:szCs w:val="24"/>
                <w:lang w:eastAsia="zh-CN"/>
              </w:rPr>
              <w:t>4</w:t>
            </w:r>
            <w:r>
              <w:rPr>
                <w:rFonts w:ascii="Times New Roman" w:cs="Times New Roman" w:hAnsiTheme="minorEastAsia"/>
                <w:bCs/>
                <w:sz w:val="24"/>
                <w:szCs w:val="24"/>
                <w:lang w:eastAsia="zh-CN"/>
              </w:rPr>
              <w:t>月</w:t>
            </w:r>
            <w:r>
              <w:rPr>
                <w:rFonts w:hint="eastAsia" w:ascii="Times New Roman" w:hAnsi="Times New Roman" w:cs="Times New Roman"/>
                <w:bCs/>
                <w:sz w:val="24"/>
                <w:szCs w:val="24"/>
                <w:lang w:eastAsia="zh-CN"/>
              </w:rPr>
              <w:t>08</w:t>
            </w:r>
            <w:r>
              <w:rPr>
                <w:rFonts w:ascii="Times New Roman" w:cs="Times New Roman" w:hAnsiTheme="minorEastAsia"/>
                <w:bCs/>
                <w:sz w:val="24"/>
                <w:szCs w:val="24"/>
                <w:lang w:eastAsia="zh-CN"/>
              </w:rPr>
              <w:t>日</w:t>
            </w:r>
            <w:bookmarkEnd w:id="0"/>
            <w:bookmarkEnd w:id="1"/>
          </w:p>
        </w:tc>
      </w:tr>
    </w:tbl>
    <w:tbl>
      <w:tblPr>
        <w:tblStyle w:val="32"/>
        <w:tblpPr w:leftFromText="187" w:rightFromText="187" w:horzAnchor="margin" w:tblpXSpec="center" w:tblpYSpec="bottom"/>
        <w:tblW w:w="5000" w:type="pct"/>
        <w:tblInd w:w="0" w:type="dxa"/>
        <w:tblLayout w:type="autofit"/>
        <w:tblCellMar>
          <w:top w:w="0" w:type="dxa"/>
          <w:left w:w="108" w:type="dxa"/>
          <w:bottom w:w="0" w:type="dxa"/>
          <w:right w:w="108" w:type="dxa"/>
        </w:tblCellMar>
      </w:tblPr>
      <w:tblGrid>
        <w:gridCol w:w="10082"/>
      </w:tblGrid>
      <w:tr w14:paraId="25A1495A">
        <w:tblPrEx>
          <w:tblCellMar>
            <w:top w:w="0" w:type="dxa"/>
            <w:left w:w="108" w:type="dxa"/>
            <w:bottom w:w="0" w:type="dxa"/>
            <w:right w:w="108" w:type="dxa"/>
          </w:tblCellMar>
        </w:tblPrEx>
        <w:sdt>
          <w:sdtPr>
            <w:rPr>
              <w:rFonts w:ascii="Times New Roman" w:hAnsi="Times New Roman" w:cs="Times New Roman"/>
              <w:bCs/>
              <w:lang w:eastAsia="zh-CN"/>
            </w:rPr>
            <w:alias w:val="摘要"/>
            <w:id w:val="8276291"/>
            <w:dataBinding w:prefixMappings="xmlns:ns0='http://schemas.microsoft.com/office/2006/coverPageProps'" w:xpath="/ns0:CoverPageProperties[1]/ns0:Abstract[1]" w:storeItemID="{55AF091B-3C7A-41E3-B477-F2FDAA23CFDA}"/>
            <w:text/>
          </w:sdtPr>
          <w:sdtEndPr>
            <w:rPr>
              <w:rFonts w:ascii="Times New Roman" w:hAnsi="Times New Roman" w:cs="Times New Roman"/>
              <w:bCs/>
              <w:lang w:eastAsia="zh-CN"/>
            </w:rPr>
          </w:sdtEndPr>
          <w:sdtContent>
            <w:tc>
              <w:tcPr>
                <w:tcW w:w="5000" w:type="pct"/>
              </w:tcPr>
              <w:p w14:paraId="49E6FA50">
                <w:pPr>
                  <w:pStyle w:val="68"/>
                  <w:rPr>
                    <w:lang w:eastAsia="zh-CN"/>
                  </w:rPr>
                </w:pPr>
                <w:r>
                  <w:rPr>
                    <w:rFonts w:hint="eastAsia" w:ascii="Times New Roman" w:hAnsi="Times New Roman" w:cs="Times New Roman"/>
                    <w:bCs/>
                    <w:lang w:eastAsia="zh-CN"/>
                  </w:rPr>
                  <w:t xml:space="preserve">发布日期：2025年03月30日    修改日期：2026年04月08日    实施日期：2025年03月30日   </w:t>
                </w:r>
              </w:p>
            </w:tc>
          </w:sdtContent>
        </w:sdt>
      </w:tr>
    </w:tbl>
    <w:p w14:paraId="46BF414C">
      <w:pPr>
        <w:jc w:val="both"/>
        <w:rPr>
          <w:lang w:eastAsia="zh-CN"/>
        </w:rPr>
      </w:pPr>
    </w:p>
    <w:p w14:paraId="0195C5DA">
      <w:pPr>
        <w:rPr>
          <w:lang w:eastAsia="zh-CN"/>
        </w:rPr>
      </w:pPr>
    </w:p>
    <w:p w14:paraId="10D9B321">
      <w:pPr>
        <w:rPr>
          <w:lang w:eastAsia="zh-CN"/>
        </w:rPr>
      </w:pPr>
    </w:p>
    <w:p w14:paraId="431266FA">
      <w:pPr>
        <w:jc w:val="both"/>
        <w:rPr>
          <w:rFonts w:asciiTheme="minorEastAsia" w:hAnsiTheme="minorEastAsia"/>
          <w:sz w:val="21"/>
          <w:szCs w:val="21"/>
          <w:lang w:eastAsia="zh-CN"/>
        </w:rPr>
      </w:pPr>
    </w:p>
    <w:sdt>
      <w:sdtPr>
        <w:rPr>
          <w:rFonts w:asciiTheme="minorHAnsi" w:hAnsiTheme="minorHAnsi" w:eastAsiaTheme="minorEastAsia" w:cstheme="minorBidi"/>
          <w:b w:val="0"/>
          <w:bCs w:val="0"/>
          <w:color w:val="auto"/>
          <w:sz w:val="22"/>
          <w:szCs w:val="22"/>
          <w:lang w:val="zh-CN" w:eastAsia="zh-CN"/>
        </w:rPr>
        <w:id w:val="2047639764"/>
        <w:docPartObj>
          <w:docPartGallery w:val="Table of Contents"/>
          <w:docPartUnique/>
        </w:docPartObj>
      </w:sdtPr>
      <w:sdtEndPr>
        <w:rPr>
          <w:rFonts w:asciiTheme="minorHAnsi" w:hAnsiTheme="minorHAnsi" w:eastAsiaTheme="minorEastAsia" w:cstheme="minorBidi"/>
          <w:b w:val="0"/>
          <w:bCs w:val="0"/>
          <w:color w:val="auto"/>
          <w:sz w:val="24"/>
          <w:szCs w:val="24"/>
          <w:lang w:val="zh-CN" w:eastAsia="en-US"/>
        </w:rPr>
      </w:sdtEndPr>
      <w:sdtContent>
        <w:p w14:paraId="566E3AD9">
          <w:pPr>
            <w:pStyle w:val="75"/>
            <w:jc w:val="center"/>
            <w:rPr>
              <w:color w:val="000000" w:themeColor="text1"/>
            </w:rPr>
          </w:pPr>
          <w:r>
            <w:rPr>
              <w:color w:val="000000" w:themeColor="text1"/>
              <w:sz w:val="32"/>
              <w:szCs w:val="32"/>
              <w:lang w:val="zh-CN" w:eastAsia="zh-CN"/>
            </w:rPr>
            <w:t>目录</w:t>
          </w:r>
          <w:bookmarkStart w:id="31" w:name="_GoBack"/>
          <w:bookmarkEnd w:id="31"/>
        </w:p>
        <w:p w14:paraId="22E72635">
          <w:pPr>
            <w:pStyle w:val="23"/>
            <w:tabs>
              <w:tab w:val="right" w:leader="dot" w:pos="9856"/>
            </w:tabs>
            <w:rPr>
              <w:kern w:val="2"/>
              <w:sz w:val="21"/>
              <w:lang w:bidi="ar-SA"/>
            </w:rPr>
          </w:pPr>
          <w:r>
            <w:rPr>
              <w:sz w:val="24"/>
              <w:szCs w:val="24"/>
            </w:rPr>
            <w:fldChar w:fldCharType="begin"/>
          </w:r>
          <w:r>
            <w:rPr>
              <w:sz w:val="24"/>
              <w:szCs w:val="24"/>
            </w:rPr>
            <w:instrText xml:space="preserve"> TOC \o "1-3" \h \z \u </w:instrText>
          </w:r>
          <w:r>
            <w:rPr>
              <w:sz w:val="24"/>
              <w:szCs w:val="24"/>
            </w:rPr>
            <w:fldChar w:fldCharType="separate"/>
          </w:r>
          <w:r>
            <w:fldChar w:fldCharType="begin"/>
          </w:r>
          <w:r>
            <w:instrText xml:space="preserve"> HYPERLINK \l "_Toc227742088" </w:instrText>
          </w:r>
          <w:r>
            <w:fldChar w:fldCharType="separate"/>
          </w:r>
          <w:r>
            <w:rPr>
              <w:rStyle w:val="38"/>
              <w:rFonts w:ascii="Times New Roman" w:hAnsi="Times New Roman" w:cs="Times New Roman"/>
            </w:rPr>
            <w:t xml:space="preserve">1 </w:t>
          </w:r>
          <w:r>
            <w:rPr>
              <w:rStyle w:val="38"/>
              <w:rFonts w:hint="eastAsia" w:ascii="Times New Roman" w:cs="Times New Roman" w:hAnsiTheme="minorEastAsia"/>
            </w:rPr>
            <w:t>适用范围</w:t>
          </w:r>
          <w:r>
            <w:tab/>
          </w:r>
          <w:r>
            <w:fldChar w:fldCharType="begin"/>
          </w:r>
          <w:r>
            <w:instrText xml:space="preserve"> PAGEREF _Toc227742088 \h </w:instrText>
          </w:r>
          <w:r>
            <w:fldChar w:fldCharType="separate"/>
          </w:r>
          <w:r>
            <w:t>3</w:t>
          </w:r>
          <w:r>
            <w:fldChar w:fldCharType="end"/>
          </w:r>
          <w:r>
            <w:fldChar w:fldCharType="end"/>
          </w:r>
        </w:p>
        <w:p w14:paraId="2DB31AEA">
          <w:pPr>
            <w:pStyle w:val="23"/>
            <w:tabs>
              <w:tab w:val="right" w:leader="dot" w:pos="9856"/>
            </w:tabs>
            <w:rPr>
              <w:kern w:val="2"/>
              <w:sz w:val="21"/>
              <w:lang w:bidi="ar-SA"/>
            </w:rPr>
          </w:pPr>
          <w:r>
            <w:fldChar w:fldCharType="begin"/>
          </w:r>
          <w:r>
            <w:instrText xml:space="preserve"> HYPERLINK \l "_Toc227742089" </w:instrText>
          </w:r>
          <w:r>
            <w:fldChar w:fldCharType="separate"/>
          </w:r>
          <w:r>
            <w:rPr>
              <w:rStyle w:val="38"/>
              <w:rFonts w:ascii="Times New Roman" w:hAnsi="Times New Roman" w:cs="Times New Roman"/>
            </w:rPr>
            <w:t>2</w:t>
          </w:r>
          <w:r>
            <w:rPr>
              <w:rStyle w:val="38"/>
              <w:rFonts w:hint="eastAsia" w:ascii="Times New Roman" w:cs="Times New Roman" w:hAnsiTheme="minorEastAsia"/>
            </w:rPr>
            <w:t>认证依据</w:t>
          </w:r>
          <w:r>
            <w:tab/>
          </w:r>
          <w:r>
            <w:fldChar w:fldCharType="begin"/>
          </w:r>
          <w:r>
            <w:instrText xml:space="preserve"> PAGEREF _Toc227742089 \h </w:instrText>
          </w:r>
          <w:r>
            <w:fldChar w:fldCharType="separate"/>
          </w:r>
          <w:r>
            <w:t>3</w:t>
          </w:r>
          <w:r>
            <w:fldChar w:fldCharType="end"/>
          </w:r>
          <w:r>
            <w:fldChar w:fldCharType="end"/>
          </w:r>
        </w:p>
        <w:p w14:paraId="353D3D76">
          <w:pPr>
            <w:pStyle w:val="23"/>
            <w:tabs>
              <w:tab w:val="right" w:leader="dot" w:pos="9856"/>
            </w:tabs>
            <w:rPr>
              <w:kern w:val="2"/>
              <w:sz w:val="21"/>
              <w:lang w:bidi="ar-SA"/>
            </w:rPr>
          </w:pPr>
          <w:r>
            <w:fldChar w:fldCharType="begin"/>
          </w:r>
          <w:r>
            <w:instrText xml:space="preserve"> HYPERLINK \l "_Toc227742090" </w:instrText>
          </w:r>
          <w:r>
            <w:fldChar w:fldCharType="separate"/>
          </w:r>
          <w:r>
            <w:rPr>
              <w:rStyle w:val="38"/>
              <w:rFonts w:ascii="Times New Roman" w:hAnsi="Times New Roman" w:cs="Times New Roman"/>
            </w:rPr>
            <w:t>3</w:t>
          </w:r>
          <w:r>
            <w:rPr>
              <w:rStyle w:val="38"/>
              <w:rFonts w:hint="eastAsia" w:ascii="Times New Roman" w:cs="Times New Roman" w:hAnsiTheme="minorEastAsia"/>
            </w:rPr>
            <w:t>对认证机构的基本要求</w:t>
          </w:r>
          <w:r>
            <w:tab/>
          </w:r>
          <w:r>
            <w:fldChar w:fldCharType="begin"/>
          </w:r>
          <w:r>
            <w:instrText xml:space="preserve"> PAGEREF _Toc227742090 \h </w:instrText>
          </w:r>
          <w:r>
            <w:fldChar w:fldCharType="separate"/>
          </w:r>
          <w:r>
            <w:t>3</w:t>
          </w:r>
          <w:r>
            <w:fldChar w:fldCharType="end"/>
          </w:r>
          <w:r>
            <w:fldChar w:fldCharType="end"/>
          </w:r>
        </w:p>
        <w:p w14:paraId="164EE8FF">
          <w:pPr>
            <w:pStyle w:val="23"/>
            <w:tabs>
              <w:tab w:val="right" w:leader="dot" w:pos="9856"/>
            </w:tabs>
            <w:rPr>
              <w:kern w:val="2"/>
              <w:sz w:val="21"/>
              <w:lang w:bidi="ar-SA"/>
            </w:rPr>
          </w:pPr>
          <w:r>
            <w:fldChar w:fldCharType="begin"/>
          </w:r>
          <w:r>
            <w:instrText xml:space="preserve"> HYPERLINK \l "_Toc227742091" </w:instrText>
          </w:r>
          <w:r>
            <w:fldChar w:fldCharType="separate"/>
          </w:r>
          <w:r>
            <w:rPr>
              <w:rStyle w:val="38"/>
              <w:rFonts w:ascii="Times New Roman" w:hAnsi="Times New Roman" w:cs="Times New Roman"/>
            </w:rPr>
            <w:t>4</w:t>
          </w:r>
          <w:r>
            <w:rPr>
              <w:rStyle w:val="38"/>
              <w:rFonts w:hint="eastAsia" w:ascii="Times New Roman" w:cs="Times New Roman" w:hAnsiTheme="minorEastAsia"/>
            </w:rPr>
            <w:t>对认证人员的基本要求</w:t>
          </w:r>
          <w:r>
            <w:tab/>
          </w:r>
          <w:r>
            <w:fldChar w:fldCharType="begin"/>
          </w:r>
          <w:r>
            <w:instrText xml:space="preserve"> PAGEREF _Toc227742091 \h </w:instrText>
          </w:r>
          <w:r>
            <w:fldChar w:fldCharType="separate"/>
          </w:r>
          <w:r>
            <w:t>4</w:t>
          </w:r>
          <w:r>
            <w:fldChar w:fldCharType="end"/>
          </w:r>
          <w:r>
            <w:fldChar w:fldCharType="end"/>
          </w:r>
        </w:p>
        <w:p w14:paraId="556666FC">
          <w:pPr>
            <w:pStyle w:val="23"/>
            <w:tabs>
              <w:tab w:val="right" w:leader="dot" w:pos="9856"/>
            </w:tabs>
            <w:rPr>
              <w:kern w:val="2"/>
              <w:sz w:val="21"/>
              <w:lang w:bidi="ar-SA"/>
            </w:rPr>
          </w:pPr>
          <w:r>
            <w:fldChar w:fldCharType="begin"/>
          </w:r>
          <w:r>
            <w:instrText xml:space="preserve"> HYPERLINK \l "_Toc227742092" </w:instrText>
          </w:r>
          <w:r>
            <w:fldChar w:fldCharType="separate"/>
          </w:r>
          <w:r>
            <w:rPr>
              <w:rStyle w:val="38"/>
              <w:rFonts w:ascii="Times New Roman" w:hAnsi="Times New Roman" w:cs="Times New Roman"/>
            </w:rPr>
            <w:t>5</w:t>
          </w:r>
          <w:r>
            <w:rPr>
              <w:rStyle w:val="38"/>
              <w:rFonts w:hint="eastAsia" w:ascii="Times New Roman" w:cs="Times New Roman" w:hAnsiTheme="minorEastAsia"/>
            </w:rPr>
            <w:t>认证程序</w:t>
          </w:r>
          <w:r>
            <w:tab/>
          </w:r>
          <w:r>
            <w:fldChar w:fldCharType="begin"/>
          </w:r>
          <w:r>
            <w:instrText xml:space="preserve"> PAGEREF _Toc227742092 \h </w:instrText>
          </w:r>
          <w:r>
            <w:fldChar w:fldCharType="separate"/>
          </w:r>
          <w:r>
            <w:t>5</w:t>
          </w:r>
          <w:r>
            <w:fldChar w:fldCharType="end"/>
          </w:r>
          <w:r>
            <w:fldChar w:fldCharType="end"/>
          </w:r>
        </w:p>
        <w:p w14:paraId="3C4F81B8">
          <w:pPr>
            <w:pStyle w:val="27"/>
            <w:tabs>
              <w:tab w:val="right" w:leader="dot" w:pos="9856"/>
            </w:tabs>
            <w:rPr>
              <w:kern w:val="2"/>
              <w:sz w:val="21"/>
              <w:lang w:bidi="ar-SA"/>
            </w:rPr>
          </w:pPr>
          <w:r>
            <w:fldChar w:fldCharType="begin"/>
          </w:r>
          <w:r>
            <w:instrText xml:space="preserve"> HYPERLINK \l "_Toc227742093" </w:instrText>
          </w:r>
          <w:r>
            <w:fldChar w:fldCharType="separate"/>
          </w:r>
          <w:r>
            <w:rPr>
              <w:rStyle w:val="38"/>
              <w:rFonts w:ascii="Times New Roman" w:hAnsi="Times New Roman" w:cs="Times New Roman"/>
            </w:rPr>
            <w:t>5.1</w:t>
          </w:r>
          <w:r>
            <w:rPr>
              <w:rStyle w:val="38"/>
              <w:rFonts w:hint="eastAsia" w:ascii="Times New Roman" w:cs="Times New Roman" w:hAnsiTheme="minorEastAsia"/>
            </w:rPr>
            <w:t>认证申请</w:t>
          </w:r>
          <w:r>
            <w:tab/>
          </w:r>
          <w:r>
            <w:fldChar w:fldCharType="begin"/>
          </w:r>
          <w:r>
            <w:instrText xml:space="preserve"> PAGEREF _Toc227742093 \h </w:instrText>
          </w:r>
          <w:r>
            <w:fldChar w:fldCharType="separate"/>
          </w:r>
          <w:r>
            <w:t>5</w:t>
          </w:r>
          <w:r>
            <w:fldChar w:fldCharType="end"/>
          </w:r>
          <w:r>
            <w:fldChar w:fldCharType="end"/>
          </w:r>
        </w:p>
        <w:p w14:paraId="36BB96F2">
          <w:pPr>
            <w:pStyle w:val="27"/>
            <w:tabs>
              <w:tab w:val="right" w:leader="dot" w:pos="9856"/>
            </w:tabs>
            <w:rPr>
              <w:kern w:val="2"/>
              <w:sz w:val="21"/>
              <w:lang w:bidi="ar-SA"/>
            </w:rPr>
          </w:pPr>
          <w:r>
            <w:fldChar w:fldCharType="begin"/>
          </w:r>
          <w:r>
            <w:instrText xml:space="preserve"> HYPERLINK \l "_Toc227742094" </w:instrText>
          </w:r>
          <w:r>
            <w:fldChar w:fldCharType="separate"/>
          </w:r>
          <w:r>
            <w:rPr>
              <w:rStyle w:val="38"/>
              <w:rFonts w:ascii="Times New Roman" w:hAnsi="Times New Roman" w:cs="Times New Roman"/>
            </w:rPr>
            <w:t>5.2</w:t>
          </w:r>
          <w:r>
            <w:rPr>
              <w:rStyle w:val="38"/>
              <w:rFonts w:hint="eastAsia" w:ascii="Times New Roman" w:cs="Times New Roman" w:hAnsiTheme="minorEastAsia"/>
            </w:rPr>
            <w:t>申请评审</w:t>
          </w:r>
          <w:r>
            <w:tab/>
          </w:r>
          <w:r>
            <w:fldChar w:fldCharType="begin"/>
          </w:r>
          <w:r>
            <w:instrText xml:space="preserve"> PAGEREF _Toc227742094 \h </w:instrText>
          </w:r>
          <w:r>
            <w:fldChar w:fldCharType="separate"/>
          </w:r>
          <w:r>
            <w:t>6</w:t>
          </w:r>
          <w:r>
            <w:fldChar w:fldCharType="end"/>
          </w:r>
          <w:r>
            <w:fldChar w:fldCharType="end"/>
          </w:r>
        </w:p>
        <w:p w14:paraId="60B4699E">
          <w:pPr>
            <w:pStyle w:val="27"/>
            <w:tabs>
              <w:tab w:val="right" w:leader="dot" w:pos="9856"/>
            </w:tabs>
            <w:rPr>
              <w:kern w:val="2"/>
              <w:sz w:val="21"/>
              <w:lang w:bidi="ar-SA"/>
            </w:rPr>
          </w:pPr>
          <w:r>
            <w:fldChar w:fldCharType="begin"/>
          </w:r>
          <w:r>
            <w:instrText xml:space="preserve"> HYPERLINK \l "_Toc227742095" </w:instrText>
          </w:r>
          <w:r>
            <w:fldChar w:fldCharType="separate"/>
          </w:r>
          <w:r>
            <w:rPr>
              <w:rStyle w:val="38"/>
              <w:rFonts w:hAnsi="Times New Roman"/>
            </w:rPr>
            <w:t>5.3</w:t>
          </w:r>
          <w:r>
            <w:rPr>
              <w:rStyle w:val="38"/>
              <w:rFonts w:hint="eastAsia"/>
            </w:rPr>
            <w:t>认证合同及相关责任</w:t>
          </w:r>
          <w:r>
            <w:tab/>
          </w:r>
          <w:r>
            <w:fldChar w:fldCharType="begin"/>
          </w:r>
          <w:r>
            <w:instrText xml:space="preserve"> PAGEREF _Toc227742095 \h </w:instrText>
          </w:r>
          <w:r>
            <w:fldChar w:fldCharType="separate"/>
          </w:r>
          <w:r>
            <w:t>6</w:t>
          </w:r>
          <w:r>
            <w:fldChar w:fldCharType="end"/>
          </w:r>
          <w:r>
            <w:fldChar w:fldCharType="end"/>
          </w:r>
        </w:p>
        <w:p w14:paraId="4508F6B0">
          <w:pPr>
            <w:pStyle w:val="27"/>
            <w:tabs>
              <w:tab w:val="right" w:leader="dot" w:pos="9856"/>
            </w:tabs>
            <w:rPr>
              <w:kern w:val="2"/>
              <w:sz w:val="21"/>
              <w:lang w:bidi="ar-SA"/>
            </w:rPr>
          </w:pPr>
          <w:r>
            <w:fldChar w:fldCharType="begin"/>
          </w:r>
          <w:r>
            <w:instrText xml:space="preserve"> HYPERLINK \l "_Toc227742096" </w:instrText>
          </w:r>
          <w:r>
            <w:fldChar w:fldCharType="separate"/>
          </w:r>
          <w:r>
            <w:rPr>
              <w:rStyle w:val="38"/>
              <w:rFonts w:hAnsi="Times New Roman"/>
            </w:rPr>
            <w:t>5.4</w:t>
          </w:r>
          <w:r>
            <w:rPr>
              <w:rStyle w:val="38"/>
              <w:rFonts w:hint="eastAsia"/>
            </w:rPr>
            <w:t>审核方案和审核策划</w:t>
          </w:r>
          <w:r>
            <w:tab/>
          </w:r>
          <w:r>
            <w:fldChar w:fldCharType="begin"/>
          </w:r>
          <w:r>
            <w:instrText xml:space="preserve"> PAGEREF _Toc227742096 \h </w:instrText>
          </w:r>
          <w:r>
            <w:fldChar w:fldCharType="separate"/>
          </w:r>
          <w:r>
            <w:t>7</w:t>
          </w:r>
          <w:r>
            <w:fldChar w:fldCharType="end"/>
          </w:r>
          <w:r>
            <w:fldChar w:fldCharType="end"/>
          </w:r>
        </w:p>
        <w:p w14:paraId="2CBA6492">
          <w:pPr>
            <w:pStyle w:val="27"/>
            <w:tabs>
              <w:tab w:val="right" w:leader="dot" w:pos="9856"/>
            </w:tabs>
            <w:rPr>
              <w:kern w:val="2"/>
              <w:sz w:val="21"/>
              <w:lang w:bidi="ar-SA"/>
            </w:rPr>
          </w:pPr>
          <w:r>
            <w:fldChar w:fldCharType="begin"/>
          </w:r>
          <w:r>
            <w:instrText xml:space="preserve"> HYPERLINK \l "_Toc227742097" </w:instrText>
          </w:r>
          <w:r>
            <w:fldChar w:fldCharType="separate"/>
          </w:r>
          <w:r>
            <w:rPr>
              <w:rStyle w:val="38"/>
            </w:rPr>
            <w:t>5.5</w:t>
          </w:r>
          <w:r>
            <w:rPr>
              <w:rStyle w:val="38"/>
              <w:rFonts w:hint="eastAsia" w:hAnsiTheme="minorEastAsia"/>
            </w:rPr>
            <w:t>实施审核</w:t>
          </w:r>
          <w:r>
            <w:tab/>
          </w:r>
          <w:r>
            <w:fldChar w:fldCharType="begin"/>
          </w:r>
          <w:r>
            <w:instrText xml:space="preserve"> PAGEREF _Toc227742097 \h </w:instrText>
          </w:r>
          <w:r>
            <w:fldChar w:fldCharType="separate"/>
          </w:r>
          <w:r>
            <w:t>9</w:t>
          </w:r>
          <w:r>
            <w:fldChar w:fldCharType="end"/>
          </w:r>
          <w:r>
            <w:fldChar w:fldCharType="end"/>
          </w:r>
        </w:p>
        <w:p w14:paraId="3A445530">
          <w:pPr>
            <w:pStyle w:val="27"/>
            <w:tabs>
              <w:tab w:val="right" w:leader="dot" w:pos="9856"/>
            </w:tabs>
            <w:rPr>
              <w:kern w:val="2"/>
              <w:sz w:val="21"/>
              <w:lang w:bidi="ar-SA"/>
            </w:rPr>
          </w:pPr>
          <w:r>
            <w:fldChar w:fldCharType="begin"/>
          </w:r>
          <w:r>
            <w:instrText xml:space="preserve"> HYPERLINK \l "_Toc227742098" </w:instrText>
          </w:r>
          <w:r>
            <w:fldChar w:fldCharType="separate"/>
          </w:r>
          <w:r>
            <w:rPr>
              <w:rStyle w:val="38"/>
            </w:rPr>
            <w:t>5.6</w:t>
          </w:r>
          <w:r>
            <w:rPr>
              <w:rStyle w:val="38"/>
              <w:rFonts w:hint="eastAsia" w:hAnsiTheme="minorEastAsia"/>
            </w:rPr>
            <w:t>初次认证审核</w:t>
          </w:r>
          <w:r>
            <w:tab/>
          </w:r>
          <w:r>
            <w:fldChar w:fldCharType="begin"/>
          </w:r>
          <w:r>
            <w:instrText xml:space="preserve"> PAGEREF _Toc227742098 \h </w:instrText>
          </w:r>
          <w:r>
            <w:fldChar w:fldCharType="separate"/>
          </w:r>
          <w:r>
            <w:t>9</w:t>
          </w:r>
          <w:r>
            <w:fldChar w:fldCharType="end"/>
          </w:r>
          <w:r>
            <w:fldChar w:fldCharType="end"/>
          </w:r>
        </w:p>
        <w:p w14:paraId="4D4B12AE">
          <w:pPr>
            <w:pStyle w:val="27"/>
            <w:tabs>
              <w:tab w:val="right" w:leader="dot" w:pos="9856"/>
            </w:tabs>
            <w:rPr>
              <w:kern w:val="2"/>
              <w:sz w:val="21"/>
              <w:lang w:bidi="ar-SA"/>
            </w:rPr>
          </w:pPr>
          <w:r>
            <w:fldChar w:fldCharType="begin"/>
          </w:r>
          <w:r>
            <w:instrText xml:space="preserve"> HYPERLINK \l "_Toc227742099" </w:instrText>
          </w:r>
          <w:r>
            <w:fldChar w:fldCharType="separate"/>
          </w:r>
          <w:r>
            <w:rPr>
              <w:rStyle w:val="38"/>
              <w:rFonts w:hAnsiTheme="minorEastAsia"/>
            </w:rPr>
            <w:t>5.7</w:t>
          </w:r>
          <w:r>
            <w:rPr>
              <w:rStyle w:val="38"/>
              <w:rFonts w:hint="eastAsia" w:hAnsiTheme="minorEastAsia"/>
            </w:rPr>
            <w:t>监督审核</w:t>
          </w:r>
          <w:r>
            <w:tab/>
          </w:r>
          <w:r>
            <w:fldChar w:fldCharType="begin"/>
          </w:r>
          <w:r>
            <w:instrText xml:space="preserve"> PAGEREF _Toc227742099 \h </w:instrText>
          </w:r>
          <w:r>
            <w:fldChar w:fldCharType="separate"/>
          </w:r>
          <w:r>
            <w:t>11</w:t>
          </w:r>
          <w:r>
            <w:fldChar w:fldCharType="end"/>
          </w:r>
          <w:r>
            <w:fldChar w:fldCharType="end"/>
          </w:r>
        </w:p>
        <w:p w14:paraId="15C8B220">
          <w:pPr>
            <w:pStyle w:val="27"/>
            <w:tabs>
              <w:tab w:val="right" w:leader="dot" w:pos="9856"/>
            </w:tabs>
            <w:rPr>
              <w:kern w:val="2"/>
              <w:sz w:val="21"/>
              <w:lang w:bidi="ar-SA"/>
            </w:rPr>
          </w:pPr>
          <w:r>
            <w:fldChar w:fldCharType="begin"/>
          </w:r>
          <w:r>
            <w:instrText xml:space="preserve"> HYPERLINK \l "_Toc227742100" </w:instrText>
          </w:r>
          <w:r>
            <w:fldChar w:fldCharType="separate"/>
          </w:r>
          <w:r>
            <w:rPr>
              <w:rStyle w:val="38"/>
              <w:rFonts w:hAnsiTheme="minorEastAsia"/>
            </w:rPr>
            <w:t>5.8</w:t>
          </w:r>
          <w:r>
            <w:rPr>
              <w:rStyle w:val="38"/>
              <w:rFonts w:hint="eastAsia" w:hAnsiTheme="minorEastAsia"/>
            </w:rPr>
            <w:t>再认证审核</w:t>
          </w:r>
          <w:r>
            <w:tab/>
          </w:r>
          <w:r>
            <w:fldChar w:fldCharType="begin"/>
          </w:r>
          <w:r>
            <w:instrText xml:space="preserve"> PAGEREF _Toc227742100 \h </w:instrText>
          </w:r>
          <w:r>
            <w:fldChar w:fldCharType="separate"/>
          </w:r>
          <w:r>
            <w:t>11</w:t>
          </w:r>
          <w:r>
            <w:fldChar w:fldCharType="end"/>
          </w:r>
          <w:r>
            <w:fldChar w:fldCharType="end"/>
          </w:r>
        </w:p>
        <w:p w14:paraId="3A34AEB8">
          <w:pPr>
            <w:pStyle w:val="27"/>
            <w:tabs>
              <w:tab w:val="right" w:leader="dot" w:pos="9856"/>
            </w:tabs>
            <w:rPr>
              <w:kern w:val="2"/>
              <w:sz w:val="21"/>
              <w:lang w:bidi="ar-SA"/>
            </w:rPr>
          </w:pPr>
          <w:r>
            <w:fldChar w:fldCharType="begin"/>
          </w:r>
          <w:r>
            <w:instrText xml:space="preserve"> HYPERLINK \l "_Toc227742101" </w:instrText>
          </w:r>
          <w:r>
            <w:fldChar w:fldCharType="separate"/>
          </w:r>
          <w:r>
            <w:rPr>
              <w:rStyle w:val="38"/>
              <w:rFonts w:hAnsiTheme="minorEastAsia"/>
            </w:rPr>
            <w:t>5.9</w:t>
          </w:r>
          <w:r>
            <w:rPr>
              <w:rStyle w:val="38"/>
              <w:rFonts w:hint="eastAsia" w:hAnsiTheme="minorEastAsia"/>
            </w:rPr>
            <w:t>特殊审核</w:t>
          </w:r>
          <w:r>
            <w:tab/>
          </w:r>
          <w:r>
            <w:fldChar w:fldCharType="begin"/>
          </w:r>
          <w:r>
            <w:instrText xml:space="preserve"> PAGEREF _Toc227742101 \h </w:instrText>
          </w:r>
          <w:r>
            <w:fldChar w:fldCharType="separate"/>
          </w:r>
          <w:r>
            <w:t>12</w:t>
          </w:r>
          <w:r>
            <w:fldChar w:fldCharType="end"/>
          </w:r>
          <w:r>
            <w:fldChar w:fldCharType="end"/>
          </w:r>
        </w:p>
        <w:p w14:paraId="1FC6D431">
          <w:pPr>
            <w:pStyle w:val="27"/>
            <w:tabs>
              <w:tab w:val="right" w:leader="dot" w:pos="9856"/>
            </w:tabs>
            <w:rPr>
              <w:kern w:val="2"/>
              <w:sz w:val="21"/>
              <w:lang w:bidi="ar-SA"/>
            </w:rPr>
          </w:pPr>
          <w:r>
            <w:fldChar w:fldCharType="begin"/>
          </w:r>
          <w:r>
            <w:instrText xml:space="preserve"> HYPERLINK \l "_Toc227742102" </w:instrText>
          </w:r>
          <w:r>
            <w:fldChar w:fldCharType="separate"/>
          </w:r>
          <w:r>
            <w:rPr>
              <w:rStyle w:val="38"/>
              <w:rFonts w:hAnsiTheme="minorEastAsia"/>
            </w:rPr>
            <w:t>5.10</w:t>
          </w:r>
          <w:r>
            <w:rPr>
              <w:rStyle w:val="38"/>
              <w:rFonts w:hint="eastAsia" w:hAnsiTheme="minorEastAsia"/>
            </w:rPr>
            <w:t>不符合项及其验证</w:t>
          </w:r>
          <w:r>
            <w:tab/>
          </w:r>
          <w:r>
            <w:fldChar w:fldCharType="begin"/>
          </w:r>
          <w:r>
            <w:instrText xml:space="preserve"> PAGEREF _Toc227742102 \h </w:instrText>
          </w:r>
          <w:r>
            <w:fldChar w:fldCharType="separate"/>
          </w:r>
          <w:r>
            <w:t>12</w:t>
          </w:r>
          <w:r>
            <w:fldChar w:fldCharType="end"/>
          </w:r>
          <w:r>
            <w:fldChar w:fldCharType="end"/>
          </w:r>
        </w:p>
        <w:p w14:paraId="20E27F99">
          <w:pPr>
            <w:pStyle w:val="27"/>
            <w:tabs>
              <w:tab w:val="right" w:leader="dot" w:pos="9856"/>
            </w:tabs>
            <w:rPr>
              <w:kern w:val="2"/>
              <w:sz w:val="21"/>
              <w:lang w:bidi="ar-SA"/>
            </w:rPr>
          </w:pPr>
          <w:r>
            <w:fldChar w:fldCharType="begin"/>
          </w:r>
          <w:r>
            <w:instrText xml:space="preserve"> HYPERLINK \l "_Toc227742103" </w:instrText>
          </w:r>
          <w:r>
            <w:fldChar w:fldCharType="separate"/>
          </w:r>
          <w:r>
            <w:rPr>
              <w:rStyle w:val="38"/>
              <w:rFonts w:hAnsiTheme="minorEastAsia"/>
            </w:rPr>
            <w:t>5.11</w:t>
          </w:r>
          <w:r>
            <w:rPr>
              <w:rStyle w:val="38"/>
              <w:rFonts w:hint="eastAsia" w:hAnsiTheme="minorEastAsia"/>
            </w:rPr>
            <w:t>审核报告</w:t>
          </w:r>
          <w:r>
            <w:tab/>
          </w:r>
          <w:r>
            <w:fldChar w:fldCharType="begin"/>
          </w:r>
          <w:r>
            <w:instrText xml:space="preserve"> PAGEREF _Toc227742103 \h </w:instrText>
          </w:r>
          <w:r>
            <w:fldChar w:fldCharType="separate"/>
          </w:r>
          <w:r>
            <w:t>12</w:t>
          </w:r>
          <w:r>
            <w:fldChar w:fldCharType="end"/>
          </w:r>
          <w:r>
            <w:fldChar w:fldCharType="end"/>
          </w:r>
        </w:p>
        <w:p w14:paraId="678812D3">
          <w:pPr>
            <w:pStyle w:val="27"/>
            <w:tabs>
              <w:tab w:val="right" w:leader="dot" w:pos="9856"/>
            </w:tabs>
            <w:rPr>
              <w:kern w:val="2"/>
              <w:sz w:val="21"/>
              <w:lang w:bidi="ar-SA"/>
            </w:rPr>
          </w:pPr>
          <w:r>
            <w:fldChar w:fldCharType="begin"/>
          </w:r>
          <w:r>
            <w:instrText xml:space="preserve"> HYPERLINK \l "_Toc227742104" </w:instrText>
          </w:r>
          <w:r>
            <w:fldChar w:fldCharType="separate"/>
          </w:r>
          <w:r>
            <w:rPr>
              <w:rStyle w:val="38"/>
              <w:rFonts w:hAnsiTheme="minorEastAsia"/>
            </w:rPr>
            <w:t>5.12</w:t>
          </w:r>
          <w:r>
            <w:rPr>
              <w:rStyle w:val="38"/>
              <w:rFonts w:hint="eastAsia" w:hAnsiTheme="minorEastAsia"/>
            </w:rPr>
            <w:t>认证决定</w:t>
          </w:r>
          <w:r>
            <w:tab/>
          </w:r>
          <w:r>
            <w:fldChar w:fldCharType="begin"/>
          </w:r>
          <w:r>
            <w:instrText xml:space="preserve"> PAGEREF _Toc227742104 \h </w:instrText>
          </w:r>
          <w:r>
            <w:fldChar w:fldCharType="separate"/>
          </w:r>
          <w:r>
            <w:t>13</w:t>
          </w:r>
          <w:r>
            <w:fldChar w:fldCharType="end"/>
          </w:r>
          <w:r>
            <w:fldChar w:fldCharType="end"/>
          </w:r>
        </w:p>
        <w:p w14:paraId="3BF4DA9F">
          <w:pPr>
            <w:pStyle w:val="23"/>
            <w:tabs>
              <w:tab w:val="right" w:leader="dot" w:pos="9856"/>
            </w:tabs>
            <w:rPr>
              <w:kern w:val="2"/>
              <w:sz w:val="21"/>
              <w:lang w:bidi="ar-SA"/>
            </w:rPr>
          </w:pPr>
          <w:r>
            <w:fldChar w:fldCharType="begin"/>
          </w:r>
          <w:r>
            <w:instrText xml:space="preserve"> HYPERLINK \l "_Toc227742105" </w:instrText>
          </w:r>
          <w:r>
            <w:fldChar w:fldCharType="separate"/>
          </w:r>
          <w:r>
            <w:rPr>
              <w:rStyle w:val="38"/>
              <w:rFonts w:hAnsi="Times New Roman"/>
            </w:rPr>
            <w:t xml:space="preserve">6 </w:t>
          </w:r>
          <w:r>
            <w:rPr>
              <w:rStyle w:val="38"/>
              <w:rFonts w:hint="eastAsia"/>
            </w:rPr>
            <w:t>认证证书和认证标志</w:t>
          </w:r>
          <w:r>
            <w:tab/>
          </w:r>
          <w:r>
            <w:fldChar w:fldCharType="begin"/>
          </w:r>
          <w:r>
            <w:instrText xml:space="preserve"> PAGEREF _Toc227742105 \h </w:instrText>
          </w:r>
          <w:r>
            <w:fldChar w:fldCharType="separate"/>
          </w:r>
          <w:r>
            <w:t>14</w:t>
          </w:r>
          <w:r>
            <w:fldChar w:fldCharType="end"/>
          </w:r>
          <w:r>
            <w:fldChar w:fldCharType="end"/>
          </w:r>
        </w:p>
        <w:p w14:paraId="07475B47">
          <w:pPr>
            <w:pStyle w:val="23"/>
            <w:tabs>
              <w:tab w:val="right" w:leader="dot" w:pos="9856"/>
            </w:tabs>
            <w:rPr>
              <w:kern w:val="2"/>
              <w:sz w:val="21"/>
              <w:lang w:bidi="ar-SA"/>
            </w:rPr>
          </w:pPr>
          <w:r>
            <w:fldChar w:fldCharType="begin"/>
          </w:r>
          <w:r>
            <w:instrText xml:space="preserve"> HYPERLINK \l "_Toc227742106" </w:instrText>
          </w:r>
          <w:r>
            <w:fldChar w:fldCharType="separate"/>
          </w:r>
          <w:r>
            <w:rPr>
              <w:rStyle w:val="38"/>
              <w:rFonts w:hAnsi="Times New Roman"/>
            </w:rPr>
            <w:t xml:space="preserve">7 </w:t>
          </w:r>
          <w:r>
            <w:rPr>
              <w:rStyle w:val="38"/>
              <w:rFonts w:hint="eastAsia"/>
            </w:rPr>
            <w:t>认证证书的暂停、撤销和注销</w:t>
          </w:r>
          <w:r>
            <w:tab/>
          </w:r>
          <w:r>
            <w:fldChar w:fldCharType="begin"/>
          </w:r>
          <w:r>
            <w:instrText xml:space="preserve"> PAGEREF _Toc227742106 \h </w:instrText>
          </w:r>
          <w:r>
            <w:fldChar w:fldCharType="separate"/>
          </w:r>
          <w:r>
            <w:t>16</w:t>
          </w:r>
          <w:r>
            <w:fldChar w:fldCharType="end"/>
          </w:r>
          <w:r>
            <w:fldChar w:fldCharType="end"/>
          </w:r>
        </w:p>
        <w:p w14:paraId="1F8B0CDD">
          <w:pPr>
            <w:pStyle w:val="23"/>
            <w:tabs>
              <w:tab w:val="right" w:leader="dot" w:pos="9856"/>
            </w:tabs>
            <w:rPr>
              <w:kern w:val="2"/>
              <w:sz w:val="21"/>
              <w:lang w:bidi="ar-SA"/>
            </w:rPr>
          </w:pPr>
          <w:r>
            <w:fldChar w:fldCharType="begin"/>
          </w:r>
          <w:r>
            <w:instrText xml:space="preserve"> HYPERLINK \l "_Toc227742107" </w:instrText>
          </w:r>
          <w:r>
            <w:fldChar w:fldCharType="separate"/>
          </w:r>
          <w:r>
            <w:rPr>
              <w:rStyle w:val="38"/>
              <w:rFonts w:hAnsi="Times New Roman"/>
            </w:rPr>
            <w:t xml:space="preserve">8 </w:t>
          </w:r>
          <w:r>
            <w:rPr>
              <w:rStyle w:val="38"/>
              <w:rFonts w:hint="eastAsia"/>
            </w:rPr>
            <w:t>申诉（投诉）处理</w:t>
          </w:r>
          <w:r>
            <w:tab/>
          </w:r>
          <w:r>
            <w:fldChar w:fldCharType="begin"/>
          </w:r>
          <w:r>
            <w:instrText xml:space="preserve"> PAGEREF _Toc227742107 \h </w:instrText>
          </w:r>
          <w:r>
            <w:fldChar w:fldCharType="separate"/>
          </w:r>
          <w:r>
            <w:t>17</w:t>
          </w:r>
          <w:r>
            <w:fldChar w:fldCharType="end"/>
          </w:r>
          <w:r>
            <w:fldChar w:fldCharType="end"/>
          </w:r>
        </w:p>
        <w:p w14:paraId="79B08596">
          <w:pPr>
            <w:pStyle w:val="23"/>
            <w:tabs>
              <w:tab w:val="right" w:leader="dot" w:pos="9856"/>
            </w:tabs>
            <w:rPr>
              <w:kern w:val="2"/>
              <w:sz w:val="21"/>
              <w:lang w:bidi="ar-SA"/>
            </w:rPr>
          </w:pPr>
          <w:r>
            <w:fldChar w:fldCharType="begin"/>
          </w:r>
          <w:r>
            <w:instrText xml:space="preserve"> HYPERLINK \l "_Toc227742108" </w:instrText>
          </w:r>
          <w:r>
            <w:fldChar w:fldCharType="separate"/>
          </w:r>
          <w:r>
            <w:rPr>
              <w:rStyle w:val="38"/>
              <w:rFonts w:hAnsi="Times New Roman"/>
            </w:rPr>
            <w:t xml:space="preserve">9 </w:t>
          </w:r>
          <w:r>
            <w:rPr>
              <w:rStyle w:val="38"/>
              <w:rFonts w:hint="eastAsia"/>
            </w:rPr>
            <w:t>信息公开与报告</w:t>
          </w:r>
          <w:r>
            <w:tab/>
          </w:r>
          <w:r>
            <w:fldChar w:fldCharType="begin"/>
          </w:r>
          <w:r>
            <w:instrText xml:space="preserve"> PAGEREF _Toc227742108 \h </w:instrText>
          </w:r>
          <w:r>
            <w:fldChar w:fldCharType="separate"/>
          </w:r>
          <w:r>
            <w:t>17</w:t>
          </w:r>
          <w:r>
            <w:fldChar w:fldCharType="end"/>
          </w:r>
          <w:r>
            <w:fldChar w:fldCharType="end"/>
          </w:r>
        </w:p>
        <w:p w14:paraId="0ECFF4A8">
          <w:pPr>
            <w:pStyle w:val="23"/>
            <w:tabs>
              <w:tab w:val="right" w:leader="dot" w:pos="9856"/>
            </w:tabs>
            <w:rPr>
              <w:kern w:val="2"/>
              <w:sz w:val="21"/>
              <w:lang w:bidi="ar-SA"/>
            </w:rPr>
          </w:pPr>
          <w:r>
            <w:fldChar w:fldCharType="begin"/>
          </w:r>
          <w:r>
            <w:instrText xml:space="preserve"> HYPERLINK \l "_Toc227742109" </w:instrText>
          </w:r>
          <w:r>
            <w:fldChar w:fldCharType="separate"/>
          </w:r>
          <w:r>
            <w:rPr>
              <w:rStyle w:val="38"/>
              <w:rFonts w:hAnsi="Times New Roman"/>
            </w:rPr>
            <w:t xml:space="preserve">10 </w:t>
          </w:r>
          <w:r>
            <w:rPr>
              <w:rStyle w:val="38"/>
              <w:rFonts w:hint="eastAsia"/>
            </w:rPr>
            <w:t>认证记录</w:t>
          </w:r>
          <w:r>
            <w:tab/>
          </w:r>
          <w:r>
            <w:fldChar w:fldCharType="begin"/>
          </w:r>
          <w:r>
            <w:instrText xml:space="preserve"> PAGEREF _Toc227742109 \h </w:instrText>
          </w:r>
          <w:r>
            <w:fldChar w:fldCharType="separate"/>
          </w:r>
          <w:r>
            <w:t>18</w:t>
          </w:r>
          <w:r>
            <w:fldChar w:fldCharType="end"/>
          </w:r>
          <w:r>
            <w:fldChar w:fldCharType="end"/>
          </w:r>
        </w:p>
        <w:p w14:paraId="4EF489AD">
          <w:pPr>
            <w:pStyle w:val="23"/>
            <w:tabs>
              <w:tab w:val="right" w:leader="dot" w:pos="9856"/>
            </w:tabs>
            <w:rPr>
              <w:kern w:val="2"/>
              <w:sz w:val="21"/>
              <w:lang w:bidi="ar-SA"/>
            </w:rPr>
          </w:pPr>
          <w:r>
            <w:fldChar w:fldCharType="begin"/>
          </w:r>
          <w:r>
            <w:instrText xml:space="preserve"> HYPERLINK \l "_Toc227742110" </w:instrText>
          </w:r>
          <w:r>
            <w:fldChar w:fldCharType="separate"/>
          </w:r>
          <w:r>
            <w:rPr>
              <w:rStyle w:val="38"/>
              <w:rFonts w:ascii="Times New Roman" w:hAnsi="Times New Roman" w:cs="Times New Roman"/>
            </w:rPr>
            <w:t xml:space="preserve">11 </w:t>
          </w:r>
          <w:r>
            <w:rPr>
              <w:rStyle w:val="38"/>
              <w:rFonts w:hint="eastAsia" w:ascii="Times New Roman" w:cs="Times New Roman"/>
            </w:rPr>
            <w:t>其他</w:t>
          </w:r>
          <w:r>
            <w:tab/>
          </w:r>
          <w:r>
            <w:fldChar w:fldCharType="begin"/>
          </w:r>
          <w:r>
            <w:instrText xml:space="preserve"> PAGEREF _Toc227742110 \h </w:instrText>
          </w:r>
          <w:r>
            <w:fldChar w:fldCharType="separate"/>
          </w:r>
          <w:r>
            <w:t>19</w:t>
          </w:r>
          <w:r>
            <w:fldChar w:fldCharType="end"/>
          </w:r>
          <w:r>
            <w:fldChar w:fldCharType="end"/>
          </w:r>
        </w:p>
        <w:p w14:paraId="38C3BA89">
          <w:pPr>
            <w:pStyle w:val="23"/>
            <w:tabs>
              <w:tab w:val="right" w:leader="dot" w:pos="9856"/>
            </w:tabs>
            <w:rPr>
              <w:kern w:val="2"/>
              <w:sz w:val="21"/>
              <w:lang w:bidi="ar-SA"/>
            </w:rPr>
          </w:pPr>
          <w:r>
            <w:fldChar w:fldCharType="begin"/>
          </w:r>
          <w:r>
            <w:instrText xml:space="preserve"> HYPERLINK \l "_Toc227742111" </w:instrText>
          </w:r>
          <w:r>
            <w:fldChar w:fldCharType="separate"/>
          </w:r>
          <w:r>
            <w:rPr>
              <w:rStyle w:val="38"/>
              <w:rFonts w:hAnsi="Times New Roman"/>
            </w:rPr>
            <w:t xml:space="preserve">12 </w:t>
          </w:r>
          <w:r>
            <w:rPr>
              <w:rStyle w:val="38"/>
              <w:rFonts w:hint="eastAsia"/>
            </w:rPr>
            <w:t>附则</w:t>
          </w:r>
          <w:r>
            <w:tab/>
          </w:r>
          <w:r>
            <w:fldChar w:fldCharType="begin"/>
          </w:r>
          <w:r>
            <w:instrText xml:space="preserve"> PAGEREF _Toc227742111 \h </w:instrText>
          </w:r>
          <w:r>
            <w:fldChar w:fldCharType="separate"/>
          </w:r>
          <w:r>
            <w:t>20</w:t>
          </w:r>
          <w:r>
            <w:fldChar w:fldCharType="end"/>
          </w:r>
          <w:r>
            <w:fldChar w:fldCharType="end"/>
          </w:r>
        </w:p>
        <w:p w14:paraId="6E7D099B">
          <w:pPr>
            <w:pStyle w:val="23"/>
            <w:tabs>
              <w:tab w:val="right" w:leader="dot" w:pos="9856"/>
            </w:tabs>
            <w:rPr>
              <w:kern w:val="2"/>
              <w:sz w:val="21"/>
              <w:lang w:bidi="ar-SA"/>
            </w:rPr>
          </w:pPr>
          <w:r>
            <w:fldChar w:fldCharType="begin"/>
          </w:r>
          <w:r>
            <w:instrText xml:space="preserve"> HYPERLINK \l "_Toc227742112" </w:instrText>
          </w:r>
          <w:r>
            <w:fldChar w:fldCharType="separate"/>
          </w:r>
          <w:r>
            <w:rPr>
              <w:rStyle w:val="38"/>
              <w:rFonts w:hint="eastAsia"/>
            </w:rPr>
            <w:t>附录</w:t>
          </w:r>
          <w:r>
            <w:rPr>
              <w:rStyle w:val="38"/>
            </w:rPr>
            <w:t xml:space="preserve">1  </w:t>
          </w:r>
          <w:r>
            <w:rPr>
              <w:rStyle w:val="38"/>
              <w:rFonts w:hint="eastAsia"/>
            </w:rPr>
            <w:t>认证业务范围分类</w:t>
          </w:r>
          <w:r>
            <w:tab/>
          </w:r>
          <w:r>
            <w:fldChar w:fldCharType="begin"/>
          </w:r>
          <w:r>
            <w:instrText xml:space="preserve"> PAGEREF _Toc227742112 \h </w:instrText>
          </w:r>
          <w:r>
            <w:fldChar w:fldCharType="separate"/>
          </w:r>
          <w:r>
            <w:t>21</w:t>
          </w:r>
          <w:r>
            <w:fldChar w:fldCharType="end"/>
          </w:r>
          <w:r>
            <w:fldChar w:fldCharType="end"/>
          </w:r>
        </w:p>
        <w:p w14:paraId="66C4E751">
          <w:pPr>
            <w:pStyle w:val="23"/>
            <w:tabs>
              <w:tab w:val="right" w:leader="dot" w:pos="9856"/>
            </w:tabs>
            <w:rPr>
              <w:kern w:val="2"/>
              <w:sz w:val="21"/>
              <w:lang w:bidi="ar-SA"/>
            </w:rPr>
          </w:pPr>
          <w:r>
            <w:fldChar w:fldCharType="begin"/>
          </w:r>
          <w:r>
            <w:instrText xml:space="preserve"> HYPERLINK \l "_Toc227742113" </w:instrText>
          </w:r>
          <w:r>
            <w:fldChar w:fldCharType="separate"/>
          </w:r>
          <w:r>
            <w:rPr>
              <w:rStyle w:val="38"/>
              <w:rFonts w:hint="eastAsia"/>
            </w:rPr>
            <w:t>附录</w:t>
          </w:r>
          <w:r>
            <w:rPr>
              <w:rStyle w:val="38"/>
            </w:rPr>
            <w:t xml:space="preserve">2 </w:t>
          </w:r>
          <w:r>
            <w:rPr>
              <w:rStyle w:val="38"/>
              <w:rFonts w:hint="eastAsia"/>
            </w:rPr>
            <w:t>审核时间要求</w:t>
          </w:r>
          <w:r>
            <w:tab/>
          </w:r>
          <w:r>
            <w:fldChar w:fldCharType="begin"/>
          </w:r>
          <w:r>
            <w:instrText xml:space="preserve"> PAGEREF _Toc227742113 \h </w:instrText>
          </w:r>
          <w:r>
            <w:fldChar w:fldCharType="separate"/>
          </w:r>
          <w:r>
            <w:t>22</w:t>
          </w:r>
          <w:r>
            <w:fldChar w:fldCharType="end"/>
          </w:r>
          <w:r>
            <w:fldChar w:fldCharType="end"/>
          </w:r>
        </w:p>
        <w:p w14:paraId="0621582A">
          <w:pPr>
            <w:pStyle w:val="23"/>
            <w:tabs>
              <w:tab w:val="right" w:leader="dot" w:pos="9856"/>
            </w:tabs>
            <w:rPr>
              <w:kern w:val="2"/>
              <w:sz w:val="21"/>
              <w:lang w:bidi="ar-SA"/>
            </w:rPr>
          </w:pPr>
          <w:r>
            <w:fldChar w:fldCharType="begin"/>
          </w:r>
          <w:r>
            <w:instrText xml:space="preserve"> HYPERLINK \l "_Toc227742114" </w:instrText>
          </w:r>
          <w:r>
            <w:fldChar w:fldCharType="separate"/>
          </w:r>
          <w:r>
            <w:rPr>
              <w:rStyle w:val="38"/>
              <w:rFonts w:hint="eastAsia"/>
            </w:rPr>
            <w:t>附录</w:t>
          </w:r>
          <w:r>
            <w:rPr>
              <w:rStyle w:val="38"/>
            </w:rPr>
            <w:t>3  HSPM</w:t>
          </w:r>
          <w:r>
            <w:rPr>
              <w:rStyle w:val="38"/>
              <w:rFonts w:hint="eastAsia"/>
            </w:rPr>
            <w:t>认证证书编号规则</w:t>
          </w:r>
          <w:r>
            <w:tab/>
          </w:r>
          <w:r>
            <w:fldChar w:fldCharType="begin"/>
          </w:r>
          <w:r>
            <w:instrText xml:space="preserve"> PAGEREF _Toc227742114 \h </w:instrText>
          </w:r>
          <w:r>
            <w:fldChar w:fldCharType="separate"/>
          </w:r>
          <w:r>
            <w:t>23</w:t>
          </w:r>
          <w:r>
            <w:fldChar w:fldCharType="end"/>
          </w:r>
          <w:r>
            <w:fldChar w:fldCharType="end"/>
          </w:r>
        </w:p>
        <w:p w14:paraId="11E89C18">
          <w:pPr>
            <w:pStyle w:val="23"/>
            <w:tabs>
              <w:tab w:val="right" w:leader="dot" w:pos="9856"/>
            </w:tabs>
            <w:rPr>
              <w:kern w:val="2"/>
              <w:sz w:val="21"/>
              <w:lang w:bidi="ar-SA"/>
            </w:rPr>
          </w:pPr>
          <w:r>
            <w:fldChar w:fldCharType="begin"/>
          </w:r>
          <w:r>
            <w:instrText xml:space="preserve"> HYPERLINK \l "_Toc227742115" </w:instrText>
          </w:r>
          <w:r>
            <w:fldChar w:fldCharType="separate"/>
          </w:r>
          <w:r>
            <w:rPr>
              <w:rStyle w:val="38"/>
              <w:rFonts w:hint="eastAsia"/>
            </w:rPr>
            <w:t>附录</w:t>
          </w:r>
          <w:r>
            <w:rPr>
              <w:rStyle w:val="38"/>
            </w:rPr>
            <w:t>4</w:t>
          </w:r>
          <w:r>
            <w:rPr>
              <w:rStyle w:val="38"/>
              <w:rFonts w:hAnsi="Times New Roman"/>
            </w:rPr>
            <w:t xml:space="preserve">  </w:t>
          </w:r>
          <w:r>
            <w:rPr>
              <w:rStyle w:val="38"/>
              <w:rFonts w:hint="eastAsia" w:hAnsi="Times New Roman"/>
            </w:rPr>
            <w:t>更改控制页</w:t>
          </w:r>
          <w:r>
            <w:tab/>
          </w:r>
          <w:r>
            <w:fldChar w:fldCharType="begin"/>
          </w:r>
          <w:r>
            <w:instrText xml:space="preserve"> PAGEREF _Toc227742115 \h </w:instrText>
          </w:r>
          <w:r>
            <w:fldChar w:fldCharType="separate"/>
          </w:r>
          <w:r>
            <w:t>24</w:t>
          </w:r>
          <w:r>
            <w:fldChar w:fldCharType="end"/>
          </w:r>
          <w:r>
            <w:fldChar w:fldCharType="end"/>
          </w:r>
        </w:p>
        <w:p w14:paraId="1650934E">
          <w:pPr>
            <w:rPr>
              <w:sz w:val="24"/>
              <w:szCs w:val="24"/>
            </w:rPr>
          </w:pPr>
          <w:r>
            <w:rPr>
              <w:b/>
              <w:bCs/>
              <w:sz w:val="24"/>
              <w:szCs w:val="24"/>
              <w:lang w:val="zh-CN"/>
            </w:rPr>
            <w:fldChar w:fldCharType="end"/>
          </w:r>
        </w:p>
      </w:sdtContent>
    </w:sdt>
    <w:p w14:paraId="6B78AF23">
      <w:pPr>
        <w:spacing w:after="0"/>
        <w:rPr>
          <w:rFonts w:ascii="宋体" w:hAnsi="宋体"/>
          <w:b/>
          <w:color w:val="000000"/>
          <w:sz w:val="32"/>
          <w:szCs w:val="32"/>
          <w:lang w:eastAsia="zh-CN"/>
        </w:rPr>
      </w:pPr>
      <w:r>
        <w:rPr>
          <w:rFonts w:ascii="宋体" w:hAnsi="宋体"/>
          <w:b/>
          <w:color w:val="000000"/>
          <w:sz w:val="32"/>
          <w:szCs w:val="32"/>
          <w:lang w:eastAsia="zh-CN"/>
        </w:rPr>
        <w:br w:type="page"/>
      </w:r>
    </w:p>
    <w:p w14:paraId="5196B110">
      <w:pPr>
        <w:snapToGrid w:val="0"/>
        <w:jc w:val="center"/>
        <w:rPr>
          <w:rFonts w:ascii="宋体" w:hAnsi="宋体"/>
          <w:b/>
          <w:color w:val="000000"/>
          <w:sz w:val="32"/>
          <w:szCs w:val="32"/>
          <w:lang w:eastAsia="zh-CN"/>
        </w:rPr>
      </w:pPr>
      <w:r>
        <w:rPr>
          <w:rFonts w:hint="eastAsia" w:ascii="宋体" w:hAnsi="宋体"/>
          <w:b/>
          <w:color w:val="000000"/>
          <w:sz w:val="32"/>
          <w:szCs w:val="32"/>
          <w:lang w:eastAsia="zh-CN"/>
        </w:rPr>
        <w:t>有害物质过程管理体系认证实施规则</w:t>
      </w:r>
    </w:p>
    <w:p w14:paraId="0995A160">
      <w:pPr>
        <w:pStyle w:val="2"/>
        <w:spacing w:beforeLines="50"/>
        <w:rPr>
          <w:rFonts w:ascii="Times New Roman" w:hAnsi="Times New Roman" w:cs="Times New Roman" w:eastAsiaTheme="minorEastAsia"/>
          <w:lang w:eastAsia="zh-CN"/>
        </w:rPr>
      </w:pPr>
      <w:bookmarkStart w:id="2" w:name="_Toc227742088"/>
      <w:r>
        <w:rPr>
          <w:rFonts w:ascii="Times New Roman" w:hAnsi="Times New Roman" w:cs="Times New Roman" w:eastAsiaTheme="minorEastAsia"/>
          <w:lang w:eastAsia="zh-CN"/>
        </w:rPr>
        <w:t xml:space="preserve">1 </w:t>
      </w:r>
      <w:r>
        <w:rPr>
          <w:rFonts w:ascii="Times New Roman" w:cs="Times New Roman" w:hAnsiTheme="minorEastAsia" w:eastAsiaTheme="minorEastAsia"/>
          <w:lang w:eastAsia="zh-CN"/>
        </w:rPr>
        <w:t>适用范围</w:t>
      </w:r>
      <w:bookmarkEnd w:id="2"/>
      <w:r>
        <w:rPr>
          <w:rFonts w:ascii="Times New Roman" w:hAnsi="Times New Roman" w:cs="Times New Roman" w:eastAsiaTheme="minorEastAsia"/>
          <w:lang w:eastAsia="zh-CN"/>
        </w:rPr>
        <w:t xml:space="preserve"> </w:t>
      </w:r>
    </w:p>
    <w:p w14:paraId="66475ED2">
      <w:pPr>
        <w:snapToGrid w:val="0"/>
        <w:spacing w:beforeLines="50" w:after="0"/>
        <w:rPr>
          <w:rFonts w:ascii="Times New Roman" w:cs="Times New Roman" w:hAnsiTheme="minorEastAsia"/>
          <w:color w:val="000000"/>
          <w:sz w:val="24"/>
          <w:szCs w:val="24"/>
          <w:lang w:eastAsia="zh-CN"/>
        </w:rPr>
      </w:pPr>
      <w:r>
        <w:rPr>
          <w:rFonts w:ascii="Times New Roman" w:cs="Times New Roman" w:hAnsiTheme="minorEastAsia"/>
          <w:color w:val="000000"/>
          <w:sz w:val="24"/>
          <w:szCs w:val="24"/>
          <w:lang w:eastAsia="zh-CN"/>
        </w:rPr>
        <w:t>1.</w:t>
      </w:r>
      <w:r>
        <w:rPr>
          <w:rFonts w:hint="eastAsia" w:ascii="Times New Roman" w:cs="Times New Roman" w:hAnsiTheme="minorEastAsia"/>
          <w:color w:val="000000"/>
          <w:sz w:val="24"/>
          <w:szCs w:val="24"/>
          <w:lang w:eastAsia="zh-CN"/>
        </w:rPr>
        <w:t>1为规范有害物质过程管理体系（以下简称：HSPM）认证活动，根据《中华人民共和国认证认可条例》和《认证机构管理办法》等法律法规，标普国际认证（深圳）有限责任公司（以下简称：S&amp;P或公司）结合相关技术标准制定本规则。</w:t>
      </w:r>
    </w:p>
    <w:p w14:paraId="600C646B">
      <w:pPr>
        <w:snapToGrid w:val="0"/>
        <w:spacing w:beforeLines="50" w:after="0"/>
        <w:rPr>
          <w:rFonts w:ascii="Times New Roman" w:cs="Times New Roman" w:hAnsiTheme="minorEastAsia"/>
          <w:color w:val="000000"/>
          <w:sz w:val="24"/>
          <w:szCs w:val="24"/>
          <w:lang w:eastAsia="zh-CN"/>
        </w:rPr>
      </w:pPr>
      <w:r>
        <w:rPr>
          <w:rFonts w:ascii="Times New Roman" w:cs="Times New Roman" w:hAnsiTheme="minorEastAsia"/>
          <w:color w:val="000000"/>
          <w:sz w:val="24"/>
          <w:szCs w:val="24"/>
          <w:lang w:eastAsia="zh-CN"/>
        </w:rPr>
        <w:t>1.</w:t>
      </w:r>
      <w:r>
        <w:rPr>
          <w:rFonts w:hint="eastAsia" w:ascii="Times New Roman" w:cs="Times New Roman" w:hAnsiTheme="minorEastAsia"/>
          <w:color w:val="000000"/>
          <w:sz w:val="24"/>
          <w:szCs w:val="24"/>
          <w:lang w:eastAsia="zh-CN"/>
        </w:rPr>
        <w:t>2本规则规定了实施HSPM认证的程序与管理的基本要求，是从事HSPM认证活动的基本依据。</w:t>
      </w:r>
    </w:p>
    <w:p w14:paraId="0AFDB396">
      <w:pPr>
        <w:snapToGrid w:val="0"/>
        <w:spacing w:beforeLines="50" w:after="0"/>
        <w:rPr>
          <w:rFonts w:ascii="Times New Roman" w:cs="Times New Roman" w:hAnsiTheme="minorEastAsia"/>
          <w:color w:val="000000"/>
          <w:sz w:val="24"/>
          <w:szCs w:val="24"/>
          <w:lang w:eastAsia="zh-CN"/>
        </w:rPr>
      </w:pPr>
      <w:r>
        <w:rPr>
          <w:rFonts w:ascii="Times New Roman" w:cs="Times New Roman" w:hAnsiTheme="minorEastAsia"/>
          <w:color w:val="000000"/>
          <w:sz w:val="24"/>
          <w:szCs w:val="24"/>
          <w:lang w:eastAsia="zh-CN"/>
        </w:rPr>
        <w:t>1.</w:t>
      </w:r>
      <w:r>
        <w:rPr>
          <w:rFonts w:hint="eastAsia" w:ascii="Times New Roman" w:cs="Times New Roman" w:hAnsiTheme="minorEastAsia"/>
          <w:color w:val="000000"/>
          <w:sz w:val="24"/>
          <w:szCs w:val="24"/>
          <w:lang w:eastAsia="zh-CN"/>
        </w:rPr>
        <w:t>3在中华人民共和国境内从事HSPM认证活动应遵守《中华人民共和国认证认可条例》《认证机构管理办法》及本规则。</w:t>
      </w:r>
    </w:p>
    <w:p w14:paraId="56277891">
      <w:pPr>
        <w:snapToGrid w:val="0"/>
        <w:spacing w:beforeLines="50" w:after="0"/>
        <w:rPr>
          <w:rFonts w:ascii="Times New Roman" w:cs="Times New Roman" w:hAnsiTheme="minorEastAsia"/>
          <w:color w:val="000000"/>
          <w:sz w:val="24"/>
          <w:szCs w:val="24"/>
          <w:lang w:eastAsia="zh-CN"/>
        </w:rPr>
      </w:pPr>
      <w:r>
        <w:rPr>
          <w:rFonts w:ascii="Times New Roman" w:cs="Times New Roman" w:hAnsiTheme="minorEastAsia"/>
          <w:color w:val="000000"/>
          <w:sz w:val="24"/>
          <w:szCs w:val="24"/>
          <w:lang w:eastAsia="zh-CN"/>
        </w:rPr>
        <w:t>1.</w:t>
      </w:r>
      <w:r>
        <w:rPr>
          <w:rFonts w:hint="eastAsia" w:ascii="Times New Roman" w:cs="Times New Roman" w:hAnsiTheme="minorEastAsia"/>
          <w:color w:val="000000"/>
          <w:sz w:val="24"/>
          <w:szCs w:val="24"/>
          <w:lang w:eastAsia="zh-CN"/>
        </w:rPr>
        <w:t>4认证机构遵守本规则的规定，并不意味着可免除其所承担的法律责任。</w:t>
      </w:r>
    </w:p>
    <w:p w14:paraId="7D6DDD9D">
      <w:pPr>
        <w:pStyle w:val="2"/>
        <w:spacing w:beforeLines="50"/>
        <w:rPr>
          <w:rFonts w:ascii="Times New Roman" w:hAnsi="Times New Roman" w:cs="Times New Roman" w:eastAsiaTheme="minorEastAsia"/>
          <w:lang w:eastAsia="zh-CN"/>
        </w:rPr>
      </w:pPr>
      <w:bookmarkStart w:id="3" w:name="_Toc227742089"/>
      <w:r>
        <w:rPr>
          <w:rFonts w:ascii="Times New Roman" w:hAnsi="Times New Roman" w:cs="Times New Roman" w:eastAsiaTheme="minorEastAsia"/>
          <w:lang w:eastAsia="zh-CN"/>
        </w:rPr>
        <w:t>2</w:t>
      </w:r>
      <w:r>
        <w:rPr>
          <w:rFonts w:hint="eastAsia" w:ascii="Times New Roman" w:cs="Times New Roman" w:hAnsiTheme="minorEastAsia" w:eastAsiaTheme="minorEastAsia"/>
          <w:lang w:eastAsia="zh-CN"/>
        </w:rPr>
        <w:t>认证依据</w:t>
      </w:r>
      <w:bookmarkEnd w:id="3"/>
    </w:p>
    <w:p w14:paraId="614F5362">
      <w:pPr>
        <w:snapToGrid w:val="0"/>
        <w:spacing w:beforeLines="50" w:after="0"/>
        <w:ind w:firstLine="458" w:firstLineChars="196"/>
        <w:rPr>
          <w:rFonts w:ascii="Times New Roman" w:hAnsi="Times New Roman" w:cs="Times New Roman"/>
          <w:color w:val="000000"/>
          <w:sz w:val="24"/>
          <w:szCs w:val="24"/>
          <w:lang w:eastAsia="zh-CN"/>
        </w:rPr>
      </w:pPr>
      <w:r>
        <w:rPr>
          <w:rFonts w:hint="eastAsia" w:ascii="Times New Roman" w:hAnsi="Times New Roman" w:cs="Times New Roman"/>
          <w:spacing w:val="-3"/>
          <w:sz w:val="24"/>
          <w:szCs w:val="24"/>
          <w:lang w:eastAsia="zh-CN"/>
        </w:rPr>
        <w:t>《</w:t>
      </w:r>
      <w:r>
        <w:rPr>
          <w:rFonts w:hint="eastAsia" w:ascii="Times New Roman" w:cs="Times New Roman" w:hAnsiTheme="minorEastAsia"/>
          <w:color w:val="000000"/>
          <w:sz w:val="24"/>
          <w:szCs w:val="24"/>
          <w:lang w:eastAsia="zh-CN"/>
        </w:rPr>
        <w:t>有害物质过程管理体系 要求</w:t>
      </w:r>
      <w:r>
        <w:rPr>
          <w:rFonts w:hint="eastAsia" w:ascii="Times New Roman" w:hAnsi="Times New Roman" w:cs="Times New Roman"/>
          <w:spacing w:val="-3"/>
          <w:sz w:val="24"/>
          <w:szCs w:val="24"/>
          <w:lang w:eastAsia="zh-CN"/>
        </w:rPr>
        <w:t>》（QC080000）</w:t>
      </w:r>
    </w:p>
    <w:p w14:paraId="2343CF8C">
      <w:pPr>
        <w:pStyle w:val="2"/>
        <w:spacing w:beforeLines="50"/>
        <w:rPr>
          <w:rFonts w:ascii="Times New Roman" w:hAnsi="Times New Roman" w:cs="Times New Roman" w:eastAsiaTheme="minorEastAsia"/>
          <w:lang w:eastAsia="zh-CN"/>
        </w:rPr>
      </w:pPr>
      <w:bookmarkStart w:id="4" w:name="_Toc227742090"/>
      <w:r>
        <w:rPr>
          <w:rFonts w:ascii="Times New Roman" w:hAnsi="Times New Roman" w:cs="Times New Roman" w:eastAsiaTheme="minorEastAsia"/>
          <w:lang w:eastAsia="zh-CN"/>
        </w:rPr>
        <w:t>3</w:t>
      </w:r>
      <w:r>
        <w:rPr>
          <w:rFonts w:hint="eastAsia" w:ascii="Times New Roman" w:cs="Times New Roman" w:hAnsiTheme="minorEastAsia" w:eastAsiaTheme="minorEastAsia"/>
          <w:lang w:eastAsia="zh-CN"/>
        </w:rPr>
        <w:t>对认证机构的基本要求</w:t>
      </w:r>
      <w:bookmarkEnd w:id="4"/>
    </w:p>
    <w:p w14:paraId="5E24CE1D">
      <w:pPr>
        <w:snapToGrid w:val="0"/>
        <w:spacing w:beforeLines="50" w:after="0"/>
        <w:rPr>
          <w:rFonts w:ascii="Times New Roman" w:cs="Times New Roman" w:hAnsiTheme="minorEastAsia"/>
          <w:color w:val="000000"/>
          <w:sz w:val="24"/>
          <w:szCs w:val="24"/>
          <w:lang w:eastAsia="zh-CN"/>
        </w:rPr>
      </w:pPr>
      <w:r>
        <w:rPr>
          <w:rFonts w:ascii="Times New Roman" w:cs="Times New Roman" w:hAnsiTheme="minorEastAsia"/>
          <w:color w:val="000000"/>
          <w:sz w:val="24"/>
          <w:szCs w:val="24"/>
          <w:lang w:eastAsia="zh-CN"/>
        </w:rPr>
        <w:t>3.</w:t>
      </w:r>
      <w:r>
        <w:rPr>
          <w:rFonts w:hint="eastAsia" w:ascii="Times New Roman" w:cs="Times New Roman" w:hAnsiTheme="minorEastAsia"/>
          <w:color w:val="000000"/>
          <w:sz w:val="24"/>
          <w:szCs w:val="24"/>
          <w:lang w:eastAsia="zh-CN"/>
        </w:rPr>
        <w:t>1获得国家认证认可监督管理委员会（以下简称国家认监委）批准取得相应认证领域资质，国家认监委尚未制定或者尚未会同国务院有关部门制定发布，S&amp;P自行制定认证规则。</w:t>
      </w:r>
    </w:p>
    <w:p w14:paraId="3B53327E">
      <w:pPr>
        <w:snapToGrid w:val="0"/>
        <w:spacing w:beforeLines="50" w:after="0"/>
        <w:rPr>
          <w:rFonts w:ascii="Times New Roman" w:cs="Times New Roman" w:hAnsiTheme="minorEastAsia"/>
          <w:color w:val="000000"/>
          <w:sz w:val="24"/>
          <w:szCs w:val="24"/>
          <w:lang w:eastAsia="zh-CN"/>
        </w:rPr>
      </w:pPr>
      <w:r>
        <w:rPr>
          <w:rFonts w:ascii="Times New Roman" w:cs="Times New Roman" w:hAnsiTheme="minorEastAsia"/>
          <w:color w:val="000000"/>
          <w:sz w:val="24"/>
          <w:szCs w:val="24"/>
          <w:lang w:eastAsia="zh-CN"/>
        </w:rPr>
        <w:t>3.</w:t>
      </w:r>
      <w:r>
        <w:rPr>
          <w:rFonts w:hint="eastAsia" w:ascii="Times New Roman" w:cs="Times New Roman" w:hAnsiTheme="minorEastAsia"/>
          <w:color w:val="000000"/>
          <w:sz w:val="24"/>
          <w:szCs w:val="24"/>
          <w:lang w:eastAsia="zh-CN"/>
        </w:rPr>
        <w:t>2开展HSPM认证活动，应当围绕国家经济和社会发展目标，重点服务于经济社会高质量发展，不得影响国家安全和社会公共利益，不得违背社会公序良俗。</w:t>
      </w:r>
    </w:p>
    <w:p w14:paraId="216E74C6">
      <w:pPr>
        <w:snapToGrid w:val="0"/>
        <w:spacing w:beforeLines="50" w:after="0"/>
        <w:rPr>
          <w:rFonts w:ascii="Times New Roman" w:cs="Times New Roman" w:hAnsiTheme="minorEastAsia"/>
          <w:color w:val="000000"/>
          <w:sz w:val="24"/>
          <w:szCs w:val="24"/>
          <w:lang w:eastAsia="zh-CN"/>
        </w:rPr>
      </w:pPr>
      <w:r>
        <w:rPr>
          <w:rFonts w:ascii="Times New Roman" w:cs="Times New Roman" w:hAnsiTheme="minorEastAsia"/>
          <w:color w:val="000000"/>
          <w:sz w:val="24"/>
          <w:szCs w:val="24"/>
          <w:lang w:eastAsia="zh-CN"/>
        </w:rPr>
        <w:t xml:space="preserve">3.3 </w:t>
      </w:r>
      <w:r>
        <w:rPr>
          <w:rFonts w:hint="eastAsia" w:ascii="Times New Roman" w:cs="Times New Roman" w:hAnsiTheme="minorEastAsia"/>
          <w:color w:val="000000"/>
          <w:sz w:val="24"/>
          <w:szCs w:val="24"/>
          <w:lang w:eastAsia="zh-CN"/>
        </w:rPr>
        <w:t>S&amp;P内部管理和HSPM认证活动符合《合格评定 管理体系审核认证机构要求 第1部分：要求》，确保持续满足开展认证的基本要求。</w:t>
      </w:r>
    </w:p>
    <w:p w14:paraId="791CEF8B">
      <w:pPr>
        <w:snapToGrid w:val="0"/>
        <w:spacing w:beforeLines="50" w:after="0"/>
        <w:rPr>
          <w:rFonts w:ascii="Times New Roman" w:cs="Times New Roman" w:hAnsiTheme="minorEastAsia"/>
          <w:color w:val="000000"/>
          <w:sz w:val="24"/>
          <w:szCs w:val="24"/>
          <w:lang w:eastAsia="zh-CN"/>
        </w:rPr>
      </w:pPr>
      <w:r>
        <w:rPr>
          <w:rFonts w:ascii="Times New Roman" w:cs="Times New Roman" w:hAnsiTheme="minorEastAsia"/>
          <w:color w:val="000000"/>
          <w:sz w:val="24"/>
          <w:szCs w:val="24"/>
          <w:lang w:eastAsia="zh-CN"/>
        </w:rPr>
        <w:t xml:space="preserve">3.4 </w:t>
      </w:r>
      <w:r>
        <w:rPr>
          <w:rFonts w:hint="eastAsia" w:ascii="Times New Roman" w:cs="Times New Roman" w:hAnsiTheme="minorEastAsia"/>
          <w:color w:val="000000"/>
          <w:sz w:val="24"/>
          <w:szCs w:val="24"/>
          <w:lang w:eastAsia="zh-CN"/>
        </w:rPr>
        <w:t>S&amp;P建立风险防范机制，对从事认证活动可能引发的风险和责任采取合理有效措施。S&amp;P应能证明其已对HSPM认证活动引发的风险进行了评估，对引发的责任做出了充分安排（如保险或储备金）。</w:t>
      </w:r>
    </w:p>
    <w:p w14:paraId="6317D152">
      <w:pPr>
        <w:snapToGrid w:val="0"/>
        <w:spacing w:beforeLines="50" w:after="0"/>
        <w:rPr>
          <w:rFonts w:ascii="Times New Roman" w:cs="Times New Roman" w:hAnsiTheme="minorEastAsia"/>
          <w:color w:val="000000"/>
          <w:sz w:val="24"/>
          <w:szCs w:val="24"/>
          <w:lang w:eastAsia="zh-CN"/>
        </w:rPr>
      </w:pPr>
      <w:r>
        <w:rPr>
          <w:rFonts w:ascii="Times New Roman" w:cs="Times New Roman" w:hAnsiTheme="minorEastAsia"/>
          <w:color w:val="000000"/>
          <w:sz w:val="24"/>
          <w:szCs w:val="24"/>
          <w:lang w:eastAsia="zh-CN"/>
        </w:rPr>
        <w:t xml:space="preserve">3.5 </w:t>
      </w:r>
      <w:r>
        <w:rPr>
          <w:rFonts w:hint="eastAsia" w:ascii="Times New Roman" w:cs="Times New Roman" w:hAnsiTheme="minorEastAsia"/>
          <w:color w:val="000000"/>
          <w:sz w:val="24"/>
          <w:szCs w:val="24"/>
          <w:lang w:eastAsia="zh-CN"/>
        </w:rPr>
        <w:t>S&amp;P建立认证人员管理制度，明确认证人员的能力准则、选择条件、聘用和评价程序，以及能力提升机制。确保从事HSPM的人员持续具备相应职业素养和能力。</w:t>
      </w:r>
    </w:p>
    <w:p w14:paraId="4745E845">
      <w:pPr>
        <w:snapToGrid w:val="0"/>
        <w:spacing w:beforeLines="50" w:after="0"/>
        <w:rPr>
          <w:rFonts w:ascii="Times New Roman" w:cs="Times New Roman" w:hAnsiTheme="minorEastAsia"/>
          <w:color w:val="000000"/>
          <w:sz w:val="24"/>
          <w:szCs w:val="24"/>
          <w:lang w:eastAsia="zh-CN"/>
        </w:rPr>
      </w:pPr>
      <w:r>
        <w:rPr>
          <w:rFonts w:hint="eastAsia" w:ascii="Times New Roman" w:cs="Times New Roman" w:hAnsiTheme="minorEastAsia"/>
          <w:color w:val="000000"/>
          <w:sz w:val="24"/>
          <w:szCs w:val="24"/>
          <w:lang w:eastAsia="zh-CN"/>
        </w:rPr>
        <w:t>3.6在拟开展的HSPM认证业务范围（认证业务范围分类见附录1表），具备 2名（含）以上专业领域审核员。S&amp;P结合认证业务范围识别相关专业的学历和专业质量及安全技术工作经历，相应认证业务范围的专业领域审核员，应具备如下条件之一：</w:t>
      </w:r>
    </w:p>
    <w:p w14:paraId="31DA2628">
      <w:pPr>
        <w:snapToGrid w:val="0"/>
        <w:spacing w:beforeLines="50" w:after="0"/>
        <w:rPr>
          <w:rFonts w:ascii="Times New Roman" w:cs="Times New Roman" w:hAnsiTheme="minorEastAsia"/>
          <w:color w:val="000000"/>
          <w:sz w:val="24"/>
          <w:szCs w:val="24"/>
          <w:lang w:eastAsia="zh-CN"/>
        </w:rPr>
      </w:pPr>
      <w:r>
        <w:rPr>
          <w:rFonts w:hint="eastAsia" w:ascii="Times New Roman" w:cs="Times New Roman" w:hAnsiTheme="minorEastAsia"/>
          <w:color w:val="000000"/>
          <w:sz w:val="24"/>
          <w:szCs w:val="24"/>
          <w:lang w:eastAsia="zh-CN"/>
        </w:rPr>
        <w:t>（</w:t>
      </w:r>
      <w:r>
        <w:rPr>
          <w:rFonts w:ascii="Times New Roman" w:cs="Times New Roman" w:hAnsiTheme="minorEastAsia"/>
          <w:color w:val="000000"/>
          <w:sz w:val="24"/>
          <w:szCs w:val="24"/>
          <w:lang w:eastAsia="zh-CN"/>
        </w:rPr>
        <w:t>1</w:t>
      </w:r>
      <w:r>
        <w:rPr>
          <w:rFonts w:hint="eastAsia" w:ascii="Times New Roman" w:cs="Times New Roman" w:hAnsiTheme="minorEastAsia"/>
          <w:color w:val="000000"/>
          <w:sz w:val="24"/>
          <w:szCs w:val="24"/>
          <w:lang w:eastAsia="zh-CN"/>
        </w:rPr>
        <w:t>）具有相关专业大专（含）以上学历：在中</w:t>
      </w:r>
      <w:r>
        <w:rPr>
          <w:rFonts w:ascii="Times New Roman" w:cs="Times New Roman" w:hAnsiTheme="minorEastAsia"/>
          <w:color w:val="000000"/>
          <w:sz w:val="24"/>
          <w:szCs w:val="24"/>
          <w:lang w:eastAsia="zh-CN"/>
        </w:rPr>
        <w:t>/</w:t>
      </w:r>
      <w:r>
        <w:rPr>
          <w:rFonts w:hint="eastAsia" w:ascii="Times New Roman" w:cs="Times New Roman" w:hAnsiTheme="minorEastAsia"/>
          <w:color w:val="000000"/>
          <w:sz w:val="24"/>
          <w:szCs w:val="24"/>
          <w:lang w:eastAsia="zh-CN"/>
        </w:rPr>
        <w:t>低风险认证业务范围具有至少</w:t>
      </w:r>
      <w:r>
        <w:rPr>
          <w:rFonts w:ascii="Times New Roman" w:cs="Times New Roman" w:hAnsiTheme="minorEastAsia"/>
          <w:color w:val="000000"/>
          <w:sz w:val="24"/>
          <w:szCs w:val="24"/>
          <w:lang w:eastAsia="zh-CN"/>
        </w:rPr>
        <w:t xml:space="preserve">1 </w:t>
      </w:r>
      <w:r>
        <w:rPr>
          <w:rFonts w:hint="eastAsia" w:ascii="Times New Roman" w:cs="Times New Roman" w:hAnsiTheme="minorEastAsia"/>
          <w:color w:val="000000"/>
          <w:sz w:val="24"/>
          <w:szCs w:val="24"/>
          <w:lang w:eastAsia="zh-CN"/>
        </w:rPr>
        <w:t>年（含）以上该专业的质量技术工作经历；在高风险认证业务范围，大专学历具有</w:t>
      </w:r>
      <w:r>
        <w:rPr>
          <w:rFonts w:ascii="Times New Roman" w:cs="Times New Roman" w:hAnsiTheme="minorEastAsia"/>
          <w:color w:val="000000"/>
          <w:sz w:val="24"/>
          <w:szCs w:val="24"/>
          <w:lang w:eastAsia="zh-CN"/>
        </w:rPr>
        <w:t xml:space="preserve">3 </w:t>
      </w:r>
      <w:r>
        <w:rPr>
          <w:rFonts w:hint="eastAsia" w:ascii="Times New Roman" w:cs="Times New Roman" w:hAnsiTheme="minorEastAsia"/>
          <w:color w:val="000000"/>
          <w:sz w:val="24"/>
          <w:szCs w:val="24"/>
          <w:lang w:eastAsia="zh-CN"/>
        </w:rPr>
        <w:t>年（含）以上，本科及以上学历具有</w:t>
      </w:r>
      <w:r>
        <w:rPr>
          <w:rFonts w:ascii="Times New Roman" w:cs="Times New Roman" w:hAnsiTheme="minorEastAsia"/>
          <w:color w:val="000000"/>
          <w:sz w:val="24"/>
          <w:szCs w:val="24"/>
          <w:lang w:eastAsia="zh-CN"/>
        </w:rPr>
        <w:t xml:space="preserve">2 </w:t>
      </w:r>
      <w:r>
        <w:rPr>
          <w:rFonts w:hint="eastAsia" w:ascii="Times New Roman" w:cs="Times New Roman" w:hAnsiTheme="minorEastAsia"/>
          <w:color w:val="000000"/>
          <w:sz w:val="24"/>
          <w:szCs w:val="24"/>
          <w:lang w:eastAsia="zh-CN"/>
        </w:rPr>
        <w:t>年（含）以上该专业的质量技术工作经历；</w:t>
      </w:r>
    </w:p>
    <w:p w14:paraId="66109B15">
      <w:pPr>
        <w:snapToGrid w:val="0"/>
        <w:spacing w:beforeLines="50" w:after="0"/>
        <w:ind w:firstLine="420" w:firstLineChars="200"/>
        <w:rPr>
          <w:rFonts w:ascii="Times New Roman" w:cs="Times New Roman" w:hAnsiTheme="minorEastAsia"/>
          <w:color w:val="000000"/>
          <w:sz w:val="21"/>
          <w:szCs w:val="21"/>
          <w:lang w:eastAsia="zh-CN"/>
        </w:rPr>
      </w:pPr>
      <w:r>
        <w:rPr>
          <w:rFonts w:hint="eastAsia" w:ascii="Times New Roman" w:cs="Times New Roman" w:hAnsiTheme="minorEastAsia"/>
          <w:color w:val="000000"/>
          <w:sz w:val="21"/>
          <w:szCs w:val="21"/>
          <w:lang w:eastAsia="zh-CN"/>
        </w:rPr>
        <w:t>注</w:t>
      </w:r>
      <w:r>
        <w:rPr>
          <w:rFonts w:ascii="Times New Roman" w:cs="Times New Roman" w:hAnsiTheme="minorEastAsia"/>
          <w:color w:val="000000"/>
          <w:sz w:val="21"/>
          <w:szCs w:val="21"/>
          <w:lang w:eastAsia="zh-CN"/>
        </w:rPr>
        <w:t>1</w:t>
      </w:r>
      <w:r>
        <w:rPr>
          <w:rFonts w:hint="eastAsia" w:ascii="Times New Roman" w:cs="Times New Roman" w:hAnsiTheme="minorEastAsia"/>
          <w:color w:val="000000"/>
          <w:sz w:val="21"/>
          <w:szCs w:val="21"/>
          <w:lang w:eastAsia="zh-CN"/>
        </w:rPr>
        <w:t>：相关专业是指与认证业务范围类别专业知识相关的教育经历。</w:t>
      </w:r>
    </w:p>
    <w:p w14:paraId="7647DDC5">
      <w:pPr>
        <w:snapToGrid w:val="0"/>
        <w:spacing w:beforeLines="50" w:after="0"/>
        <w:ind w:firstLine="420" w:firstLineChars="200"/>
        <w:rPr>
          <w:rFonts w:ascii="Times New Roman" w:cs="Times New Roman" w:hAnsiTheme="minorEastAsia"/>
          <w:color w:val="000000"/>
          <w:sz w:val="21"/>
          <w:szCs w:val="21"/>
          <w:lang w:eastAsia="zh-CN"/>
        </w:rPr>
      </w:pPr>
      <w:r>
        <w:rPr>
          <w:rFonts w:hint="eastAsia" w:ascii="Times New Roman" w:cs="Times New Roman" w:hAnsiTheme="minorEastAsia"/>
          <w:color w:val="000000"/>
          <w:sz w:val="21"/>
          <w:szCs w:val="21"/>
          <w:lang w:eastAsia="zh-CN"/>
        </w:rPr>
        <w:t>注</w:t>
      </w:r>
      <w:r>
        <w:rPr>
          <w:rFonts w:ascii="Times New Roman" w:cs="Times New Roman" w:hAnsiTheme="minorEastAsia"/>
          <w:color w:val="000000"/>
          <w:sz w:val="21"/>
          <w:szCs w:val="21"/>
          <w:lang w:eastAsia="zh-CN"/>
        </w:rPr>
        <w:t>2</w:t>
      </w:r>
      <w:r>
        <w:rPr>
          <w:rFonts w:hint="eastAsia" w:ascii="Times New Roman" w:cs="Times New Roman" w:hAnsiTheme="minorEastAsia"/>
          <w:color w:val="000000"/>
          <w:sz w:val="21"/>
          <w:szCs w:val="21"/>
          <w:lang w:eastAsia="zh-CN"/>
        </w:rPr>
        <w:t>：质量及安全技术工作包括产品和服务的设计、生产、工艺设计、检测、质量管理、教学、科研等。</w:t>
      </w:r>
    </w:p>
    <w:p w14:paraId="1914DB61">
      <w:pPr>
        <w:snapToGrid w:val="0"/>
        <w:spacing w:beforeLines="50" w:after="0"/>
        <w:rPr>
          <w:rFonts w:ascii="Times New Roman" w:cs="Times New Roman" w:hAnsiTheme="minorEastAsia"/>
          <w:color w:val="000000"/>
          <w:sz w:val="24"/>
          <w:szCs w:val="24"/>
          <w:lang w:eastAsia="zh-CN"/>
        </w:rPr>
      </w:pPr>
      <w:r>
        <w:rPr>
          <w:rFonts w:hint="eastAsia" w:ascii="Times New Roman" w:cs="Times New Roman" w:hAnsiTheme="minorEastAsia"/>
          <w:color w:val="000000"/>
          <w:sz w:val="24"/>
          <w:szCs w:val="24"/>
          <w:lang w:eastAsia="zh-CN"/>
        </w:rPr>
        <w:t>（</w:t>
      </w:r>
      <w:r>
        <w:rPr>
          <w:rFonts w:ascii="Times New Roman" w:cs="Times New Roman" w:hAnsiTheme="minorEastAsia"/>
          <w:color w:val="000000"/>
          <w:sz w:val="24"/>
          <w:szCs w:val="24"/>
          <w:lang w:eastAsia="zh-CN"/>
        </w:rPr>
        <w:t>2</w:t>
      </w:r>
      <w:r>
        <w:rPr>
          <w:rFonts w:hint="eastAsia" w:ascii="Times New Roman" w:cs="Times New Roman" w:hAnsiTheme="minorEastAsia"/>
          <w:color w:val="000000"/>
          <w:sz w:val="24"/>
          <w:szCs w:val="24"/>
          <w:lang w:eastAsia="zh-CN"/>
        </w:rPr>
        <w:t>）具有非相关专业大专（含）以上学历：在中</w:t>
      </w:r>
      <w:r>
        <w:rPr>
          <w:rFonts w:ascii="Times New Roman" w:cs="Times New Roman" w:hAnsiTheme="minorEastAsia"/>
          <w:color w:val="000000"/>
          <w:sz w:val="24"/>
          <w:szCs w:val="24"/>
          <w:lang w:eastAsia="zh-CN"/>
        </w:rPr>
        <w:t>/</w:t>
      </w:r>
      <w:r>
        <w:rPr>
          <w:rFonts w:hint="eastAsia" w:ascii="Times New Roman" w:cs="Times New Roman" w:hAnsiTheme="minorEastAsia"/>
          <w:color w:val="000000"/>
          <w:sz w:val="24"/>
          <w:szCs w:val="24"/>
          <w:lang w:eastAsia="zh-CN"/>
        </w:rPr>
        <w:t>低风险认证业务范围具有</w:t>
      </w:r>
      <w:r>
        <w:rPr>
          <w:rFonts w:ascii="Times New Roman" w:cs="Times New Roman" w:hAnsiTheme="minorEastAsia"/>
          <w:color w:val="000000"/>
          <w:sz w:val="24"/>
          <w:szCs w:val="24"/>
          <w:lang w:eastAsia="zh-CN"/>
        </w:rPr>
        <w:t xml:space="preserve">3 </w:t>
      </w:r>
      <w:r>
        <w:rPr>
          <w:rFonts w:hint="eastAsia" w:ascii="Times New Roman" w:cs="Times New Roman" w:hAnsiTheme="minorEastAsia"/>
          <w:color w:val="000000"/>
          <w:sz w:val="24"/>
          <w:szCs w:val="24"/>
          <w:lang w:eastAsia="zh-CN"/>
        </w:rPr>
        <w:t>年（含）以上相关专业的质量技术工作经历；在高风险认证业务范围，大专学历具有</w:t>
      </w:r>
      <w:r>
        <w:rPr>
          <w:rFonts w:ascii="Times New Roman" w:cs="Times New Roman" w:hAnsiTheme="minorEastAsia"/>
          <w:color w:val="000000"/>
          <w:sz w:val="24"/>
          <w:szCs w:val="24"/>
          <w:lang w:eastAsia="zh-CN"/>
        </w:rPr>
        <w:t xml:space="preserve">5 </w:t>
      </w:r>
      <w:r>
        <w:rPr>
          <w:rFonts w:hint="eastAsia" w:ascii="Times New Roman" w:cs="Times New Roman" w:hAnsiTheme="minorEastAsia"/>
          <w:color w:val="000000"/>
          <w:sz w:val="24"/>
          <w:szCs w:val="24"/>
          <w:lang w:eastAsia="zh-CN"/>
        </w:rPr>
        <w:t>年（含）以上，本科及以上学历具有</w:t>
      </w:r>
      <w:r>
        <w:rPr>
          <w:rFonts w:ascii="Times New Roman" w:cs="Times New Roman" w:hAnsiTheme="minorEastAsia"/>
          <w:color w:val="000000"/>
          <w:sz w:val="24"/>
          <w:szCs w:val="24"/>
          <w:lang w:eastAsia="zh-CN"/>
        </w:rPr>
        <w:t xml:space="preserve">4 </w:t>
      </w:r>
      <w:r>
        <w:rPr>
          <w:rFonts w:hint="eastAsia" w:ascii="Times New Roman" w:cs="Times New Roman" w:hAnsiTheme="minorEastAsia"/>
          <w:color w:val="000000"/>
          <w:sz w:val="24"/>
          <w:szCs w:val="24"/>
          <w:lang w:eastAsia="zh-CN"/>
        </w:rPr>
        <w:t>年（含）以上相关专业的质量技术工作经历；</w:t>
      </w:r>
    </w:p>
    <w:p w14:paraId="5BE717CF">
      <w:pPr>
        <w:snapToGrid w:val="0"/>
        <w:spacing w:beforeLines="50" w:after="0"/>
        <w:rPr>
          <w:rFonts w:ascii="Times New Roman" w:cs="Times New Roman" w:hAnsiTheme="minorEastAsia"/>
          <w:color w:val="000000"/>
          <w:sz w:val="24"/>
          <w:szCs w:val="24"/>
          <w:lang w:eastAsia="zh-CN"/>
        </w:rPr>
      </w:pPr>
      <w:r>
        <w:rPr>
          <w:rFonts w:hint="eastAsia" w:ascii="Times New Roman" w:cs="Times New Roman" w:hAnsiTheme="minorEastAsia"/>
          <w:color w:val="000000"/>
          <w:sz w:val="24"/>
          <w:szCs w:val="24"/>
          <w:lang w:eastAsia="zh-CN"/>
        </w:rPr>
        <w:t>（</w:t>
      </w:r>
      <w:r>
        <w:rPr>
          <w:rFonts w:ascii="Times New Roman" w:cs="Times New Roman" w:hAnsiTheme="minorEastAsia"/>
          <w:color w:val="000000"/>
          <w:sz w:val="24"/>
          <w:szCs w:val="24"/>
          <w:lang w:eastAsia="zh-CN"/>
        </w:rPr>
        <w:t>3</w:t>
      </w:r>
      <w:r>
        <w:rPr>
          <w:rFonts w:hint="eastAsia" w:ascii="Times New Roman" w:cs="Times New Roman" w:hAnsiTheme="minorEastAsia"/>
          <w:color w:val="000000"/>
          <w:sz w:val="24"/>
          <w:szCs w:val="24"/>
          <w:lang w:eastAsia="zh-CN"/>
        </w:rPr>
        <w:t>）中</w:t>
      </w:r>
      <w:r>
        <w:rPr>
          <w:rFonts w:ascii="Times New Roman" w:cs="Times New Roman" w:hAnsiTheme="minorEastAsia"/>
          <w:color w:val="000000"/>
          <w:sz w:val="24"/>
          <w:szCs w:val="24"/>
          <w:lang w:eastAsia="zh-CN"/>
        </w:rPr>
        <w:t>/</w:t>
      </w:r>
      <w:r>
        <w:rPr>
          <w:rFonts w:hint="eastAsia" w:ascii="Times New Roman" w:cs="Times New Roman" w:hAnsiTheme="minorEastAsia"/>
          <w:color w:val="000000"/>
          <w:sz w:val="24"/>
          <w:szCs w:val="24"/>
          <w:lang w:eastAsia="zh-CN"/>
        </w:rPr>
        <w:t>低风险认证业务范围具有该专业中级（含）以上技术职称，高风险认证业务范围具有该专业高级技术职称；</w:t>
      </w:r>
    </w:p>
    <w:p w14:paraId="33AB2A34">
      <w:pPr>
        <w:snapToGrid w:val="0"/>
        <w:spacing w:beforeLines="50" w:after="0"/>
        <w:rPr>
          <w:rFonts w:ascii="Times New Roman" w:cs="Times New Roman" w:hAnsiTheme="minorEastAsia"/>
          <w:color w:val="000000"/>
          <w:sz w:val="24"/>
          <w:szCs w:val="24"/>
          <w:lang w:eastAsia="zh-CN"/>
        </w:rPr>
      </w:pPr>
      <w:r>
        <w:rPr>
          <w:rFonts w:hint="eastAsia" w:ascii="Times New Roman" w:cs="Times New Roman" w:hAnsiTheme="minorEastAsia"/>
          <w:color w:val="000000"/>
          <w:sz w:val="24"/>
          <w:szCs w:val="24"/>
          <w:lang w:eastAsia="zh-CN"/>
        </w:rPr>
        <w:t>（</w:t>
      </w:r>
      <w:r>
        <w:rPr>
          <w:rFonts w:ascii="Times New Roman" w:cs="Times New Roman" w:hAnsiTheme="minorEastAsia"/>
          <w:color w:val="000000"/>
          <w:sz w:val="24"/>
          <w:szCs w:val="24"/>
          <w:lang w:eastAsia="zh-CN"/>
        </w:rPr>
        <w:t>4</w:t>
      </w:r>
      <w:r>
        <w:rPr>
          <w:rFonts w:hint="eastAsia" w:ascii="Times New Roman" w:cs="Times New Roman" w:hAnsiTheme="minorEastAsia"/>
          <w:color w:val="000000"/>
          <w:sz w:val="24"/>
          <w:szCs w:val="24"/>
          <w:lang w:eastAsia="zh-CN"/>
        </w:rPr>
        <w:t>）取得正式审核员注册资格后，参加该认证业务范围质量专业技术培训且考核合格，并且在HSPM专业领域审核员或技术专家的指导下完成一定数量的HSPM专业审核活动：中</w:t>
      </w:r>
      <w:r>
        <w:rPr>
          <w:rFonts w:ascii="Times New Roman" w:cs="Times New Roman" w:hAnsiTheme="minorEastAsia"/>
          <w:color w:val="000000"/>
          <w:sz w:val="24"/>
          <w:szCs w:val="24"/>
          <w:lang w:eastAsia="zh-CN"/>
        </w:rPr>
        <w:t>/</w:t>
      </w:r>
      <w:r>
        <w:rPr>
          <w:rFonts w:hint="eastAsia" w:ascii="Times New Roman" w:cs="Times New Roman" w:hAnsiTheme="minorEastAsia"/>
          <w:color w:val="000000"/>
          <w:sz w:val="24"/>
          <w:szCs w:val="24"/>
          <w:lang w:eastAsia="zh-CN"/>
        </w:rPr>
        <w:t>低风险认证业务范围不少于</w:t>
      </w:r>
      <w:r>
        <w:rPr>
          <w:rFonts w:ascii="Times New Roman" w:cs="Times New Roman" w:hAnsiTheme="minorEastAsia"/>
          <w:color w:val="000000"/>
          <w:sz w:val="24"/>
          <w:szCs w:val="24"/>
          <w:lang w:eastAsia="zh-CN"/>
        </w:rPr>
        <w:t xml:space="preserve">4 </w:t>
      </w:r>
      <w:r>
        <w:rPr>
          <w:rFonts w:hint="eastAsia" w:ascii="Times New Roman" w:cs="Times New Roman" w:hAnsiTheme="minorEastAsia"/>
          <w:color w:val="000000"/>
          <w:sz w:val="24"/>
          <w:szCs w:val="24"/>
          <w:lang w:eastAsia="zh-CN"/>
        </w:rPr>
        <w:t>次</w:t>
      </w:r>
      <w:r>
        <w:rPr>
          <w:rFonts w:ascii="Times New Roman" w:cs="Times New Roman" w:hAnsiTheme="minorEastAsia"/>
          <w:color w:val="000000"/>
          <w:sz w:val="24"/>
          <w:szCs w:val="24"/>
          <w:lang w:eastAsia="zh-CN"/>
        </w:rPr>
        <w:t xml:space="preserve">10 </w:t>
      </w:r>
      <w:r>
        <w:rPr>
          <w:rFonts w:hint="eastAsia" w:ascii="Times New Roman" w:cs="Times New Roman" w:hAnsiTheme="minorEastAsia"/>
          <w:color w:val="000000"/>
          <w:sz w:val="24"/>
          <w:szCs w:val="24"/>
          <w:lang w:eastAsia="zh-CN"/>
        </w:rPr>
        <w:t>个现场审核人日，高风险认证业务范围不少于</w:t>
      </w:r>
      <w:r>
        <w:rPr>
          <w:rFonts w:ascii="Times New Roman" w:cs="Times New Roman" w:hAnsiTheme="minorEastAsia"/>
          <w:color w:val="000000"/>
          <w:sz w:val="24"/>
          <w:szCs w:val="24"/>
          <w:lang w:eastAsia="zh-CN"/>
        </w:rPr>
        <w:t xml:space="preserve">6 </w:t>
      </w:r>
      <w:r>
        <w:rPr>
          <w:rFonts w:hint="eastAsia" w:ascii="Times New Roman" w:cs="Times New Roman" w:hAnsiTheme="minorEastAsia"/>
          <w:color w:val="000000"/>
          <w:sz w:val="24"/>
          <w:szCs w:val="24"/>
          <w:lang w:eastAsia="zh-CN"/>
        </w:rPr>
        <w:t>次</w:t>
      </w:r>
      <w:r>
        <w:rPr>
          <w:rFonts w:ascii="Times New Roman" w:cs="Times New Roman" w:hAnsiTheme="minorEastAsia"/>
          <w:color w:val="000000"/>
          <w:sz w:val="24"/>
          <w:szCs w:val="24"/>
          <w:lang w:eastAsia="zh-CN"/>
        </w:rPr>
        <w:t xml:space="preserve">20 </w:t>
      </w:r>
      <w:r>
        <w:rPr>
          <w:rFonts w:hint="eastAsia" w:ascii="Times New Roman" w:cs="Times New Roman" w:hAnsiTheme="minorEastAsia"/>
          <w:color w:val="000000"/>
          <w:sz w:val="24"/>
          <w:szCs w:val="24"/>
          <w:lang w:eastAsia="zh-CN"/>
        </w:rPr>
        <w:t>个现场审核人日；</w:t>
      </w:r>
    </w:p>
    <w:p w14:paraId="4D5F3B2D">
      <w:pPr>
        <w:snapToGrid w:val="0"/>
        <w:spacing w:beforeLines="50" w:after="0"/>
        <w:rPr>
          <w:rFonts w:ascii="Times New Roman" w:cs="Times New Roman" w:hAnsiTheme="minorEastAsia"/>
          <w:color w:val="000000"/>
          <w:sz w:val="24"/>
          <w:szCs w:val="24"/>
          <w:lang w:eastAsia="zh-CN"/>
        </w:rPr>
      </w:pPr>
      <w:r>
        <w:rPr>
          <w:rFonts w:hint="eastAsia" w:ascii="Times New Roman" w:cs="Times New Roman" w:hAnsiTheme="minorEastAsia"/>
          <w:color w:val="000000"/>
          <w:sz w:val="24"/>
          <w:szCs w:val="24"/>
          <w:lang w:eastAsia="zh-CN"/>
        </w:rPr>
        <w:t>（</w:t>
      </w:r>
      <w:r>
        <w:rPr>
          <w:rFonts w:ascii="Times New Roman" w:cs="Times New Roman" w:hAnsiTheme="minorEastAsia"/>
          <w:color w:val="000000"/>
          <w:sz w:val="24"/>
          <w:szCs w:val="24"/>
          <w:lang w:eastAsia="zh-CN"/>
        </w:rPr>
        <w:t>5</w:t>
      </w:r>
      <w:r>
        <w:rPr>
          <w:rFonts w:hint="eastAsia" w:ascii="Times New Roman" w:cs="Times New Roman" w:hAnsiTheme="minorEastAsia"/>
          <w:color w:val="000000"/>
          <w:sz w:val="24"/>
          <w:szCs w:val="24"/>
          <w:lang w:eastAsia="zh-CN"/>
        </w:rPr>
        <w:t>）作为项目主要参加人，在该专业完成一定数量的质量标准（应用于相应行业</w:t>
      </w:r>
      <w:r>
        <w:rPr>
          <w:rFonts w:ascii="Times New Roman" w:cs="Times New Roman" w:hAnsiTheme="minorEastAsia"/>
          <w:color w:val="000000"/>
          <w:sz w:val="24"/>
          <w:szCs w:val="24"/>
          <w:lang w:eastAsia="zh-CN"/>
        </w:rPr>
        <w:t>/</w:t>
      </w:r>
      <w:r>
        <w:rPr>
          <w:rFonts w:hint="eastAsia" w:ascii="Times New Roman" w:cs="Times New Roman" w:hAnsiTheme="minorEastAsia"/>
          <w:color w:val="000000"/>
          <w:sz w:val="24"/>
          <w:szCs w:val="24"/>
          <w:lang w:eastAsia="zh-CN"/>
        </w:rPr>
        <w:t>过程的质量控制标准）的制定、科研和设计开发等质量技术工作。其中，高风险认证业务范围的数量要求至少为</w:t>
      </w:r>
      <w:r>
        <w:rPr>
          <w:rFonts w:ascii="Times New Roman" w:cs="Times New Roman" w:hAnsiTheme="minorEastAsia"/>
          <w:color w:val="000000"/>
          <w:sz w:val="24"/>
          <w:szCs w:val="24"/>
          <w:lang w:eastAsia="zh-CN"/>
        </w:rPr>
        <w:t xml:space="preserve">2 </w:t>
      </w:r>
      <w:r>
        <w:rPr>
          <w:rFonts w:hint="eastAsia" w:ascii="Times New Roman" w:cs="Times New Roman" w:hAnsiTheme="minorEastAsia"/>
          <w:color w:val="000000"/>
          <w:sz w:val="24"/>
          <w:szCs w:val="24"/>
          <w:lang w:eastAsia="zh-CN"/>
        </w:rPr>
        <w:t>项，中</w:t>
      </w:r>
      <w:r>
        <w:rPr>
          <w:rFonts w:ascii="Times New Roman" w:cs="Times New Roman" w:hAnsiTheme="minorEastAsia"/>
          <w:color w:val="000000"/>
          <w:sz w:val="24"/>
          <w:szCs w:val="24"/>
          <w:lang w:eastAsia="zh-CN"/>
        </w:rPr>
        <w:t>/</w:t>
      </w:r>
      <w:r>
        <w:rPr>
          <w:rFonts w:hint="eastAsia" w:ascii="Times New Roman" w:cs="Times New Roman" w:hAnsiTheme="minorEastAsia"/>
          <w:color w:val="000000"/>
          <w:sz w:val="24"/>
          <w:szCs w:val="24"/>
          <w:lang w:eastAsia="zh-CN"/>
        </w:rPr>
        <w:t>低风险认证业务范围的数量要求至少为</w:t>
      </w:r>
      <w:r>
        <w:rPr>
          <w:rFonts w:ascii="Times New Roman" w:cs="Times New Roman" w:hAnsiTheme="minorEastAsia"/>
          <w:color w:val="000000"/>
          <w:sz w:val="24"/>
          <w:szCs w:val="24"/>
          <w:lang w:eastAsia="zh-CN"/>
        </w:rPr>
        <w:t xml:space="preserve">1 </w:t>
      </w:r>
      <w:r>
        <w:rPr>
          <w:rFonts w:hint="eastAsia" w:ascii="Times New Roman" w:cs="Times New Roman" w:hAnsiTheme="minorEastAsia"/>
          <w:color w:val="000000"/>
          <w:sz w:val="24"/>
          <w:szCs w:val="24"/>
          <w:lang w:eastAsia="zh-CN"/>
        </w:rPr>
        <w:t>项。</w:t>
      </w:r>
    </w:p>
    <w:p w14:paraId="753A9288">
      <w:pPr>
        <w:snapToGrid w:val="0"/>
        <w:spacing w:beforeLines="50" w:after="0"/>
        <w:rPr>
          <w:rFonts w:ascii="Times New Roman" w:cs="Times New Roman" w:hAnsiTheme="minorEastAsia"/>
          <w:color w:val="000000"/>
          <w:sz w:val="24"/>
          <w:szCs w:val="24"/>
          <w:lang w:eastAsia="zh-CN"/>
        </w:rPr>
      </w:pPr>
      <w:r>
        <w:rPr>
          <w:rFonts w:ascii="Times New Roman" w:cs="Times New Roman" w:hAnsiTheme="minorEastAsia"/>
          <w:color w:val="000000"/>
          <w:sz w:val="24"/>
          <w:szCs w:val="24"/>
          <w:lang w:eastAsia="zh-CN"/>
        </w:rPr>
        <w:t>3.</w:t>
      </w:r>
      <w:r>
        <w:rPr>
          <w:rFonts w:hint="eastAsia" w:ascii="Times New Roman" w:cs="Times New Roman" w:hAnsiTheme="minorEastAsia"/>
          <w:color w:val="000000"/>
          <w:sz w:val="24"/>
          <w:szCs w:val="24"/>
          <w:lang w:eastAsia="zh-CN"/>
        </w:rPr>
        <w:t>7应对其认证活动的公正性负责，不允许商业、财务或其他压力损害公正性。如：不得将申请认证的组织（以下简称“认证委托人”）是否获得认证与参与认证审核的审核员及其他人员的薪酬挂钩。</w:t>
      </w:r>
    </w:p>
    <w:p w14:paraId="37CDCDAF">
      <w:pPr>
        <w:snapToGrid w:val="0"/>
        <w:spacing w:beforeLines="50" w:after="0"/>
        <w:rPr>
          <w:rFonts w:ascii="Times New Roman" w:cs="Times New Roman" w:hAnsiTheme="minorEastAsia"/>
          <w:color w:val="000000"/>
          <w:sz w:val="24"/>
          <w:szCs w:val="24"/>
          <w:lang w:eastAsia="zh-CN"/>
        </w:rPr>
      </w:pPr>
      <w:r>
        <w:rPr>
          <w:rFonts w:ascii="Times New Roman" w:cs="Times New Roman" w:hAnsiTheme="minorEastAsia"/>
          <w:color w:val="000000"/>
          <w:sz w:val="24"/>
          <w:szCs w:val="24"/>
          <w:lang w:eastAsia="zh-CN"/>
        </w:rPr>
        <w:t>3.</w:t>
      </w:r>
      <w:r>
        <w:rPr>
          <w:rFonts w:hint="eastAsia" w:ascii="Times New Roman" w:cs="Times New Roman" w:hAnsiTheme="minorEastAsia"/>
          <w:color w:val="000000"/>
          <w:sz w:val="24"/>
          <w:szCs w:val="24"/>
          <w:lang w:eastAsia="zh-CN"/>
        </w:rPr>
        <w:t>8对认证活动中所知悉的国家秘密、商业秘密负有保密义务。应通过在法律上具有强制实施力的协议，确保认证活动中所获得的信息在未经认证委托人书面同意的情况下，不向第三方透漏，认证行政监管有要求的除外。</w:t>
      </w:r>
    </w:p>
    <w:p w14:paraId="2F0B2BB6">
      <w:pPr>
        <w:snapToGrid w:val="0"/>
        <w:spacing w:beforeLines="50" w:after="0"/>
        <w:rPr>
          <w:rFonts w:ascii="Times New Roman" w:cs="Times New Roman" w:hAnsiTheme="minorEastAsia"/>
          <w:color w:val="000000"/>
          <w:sz w:val="24"/>
          <w:szCs w:val="24"/>
          <w:lang w:eastAsia="zh-CN"/>
        </w:rPr>
      </w:pPr>
      <w:r>
        <w:rPr>
          <w:rFonts w:ascii="Times New Roman" w:cs="Times New Roman" w:hAnsiTheme="minorEastAsia"/>
          <w:color w:val="000000"/>
          <w:sz w:val="24"/>
          <w:szCs w:val="24"/>
          <w:lang w:eastAsia="zh-CN"/>
        </w:rPr>
        <w:t>3.</w:t>
      </w:r>
      <w:r>
        <w:rPr>
          <w:rFonts w:hint="eastAsia" w:ascii="Times New Roman" w:cs="Times New Roman" w:hAnsiTheme="minorEastAsia"/>
          <w:color w:val="000000"/>
          <w:sz w:val="24"/>
          <w:szCs w:val="24"/>
          <w:lang w:eastAsia="zh-CN"/>
        </w:rPr>
        <w:t>9应对HSPM认证活动的真实性、有效性负责，加强认证人员的管理及素质、能力提升，合理安排审核员的工作量。每个审核员参加管理体系现场审核时间的总和不应超过180天/周期年。</w:t>
      </w:r>
    </w:p>
    <w:p w14:paraId="58EC1AB7">
      <w:pPr>
        <w:snapToGrid w:val="0"/>
        <w:spacing w:beforeLines="50" w:after="0"/>
        <w:rPr>
          <w:rFonts w:ascii="Times New Roman" w:cs="Times New Roman" w:hAnsiTheme="minorEastAsia"/>
          <w:color w:val="000000"/>
          <w:sz w:val="24"/>
          <w:szCs w:val="24"/>
          <w:lang w:eastAsia="zh-CN"/>
        </w:rPr>
      </w:pPr>
      <w:r>
        <w:rPr>
          <w:rFonts w:ascii="Times New Roman" w:cs="Times New Roman" w:hAnsiTheme="minorEastAsia"/>
          <w:color w:val="000000"/>
          <w:sz w:val="24"/>
          <w:szCs w:val="24"/>
          <w:lang w:eastAsia="zh-CN"/>
        </w:rPr>
        <w:t xml:space="preserve">3.10 </w:t>
      </w:r>
      <w:r>
        <w:rPr>
          <w:rFonts w:hint="eastAsia" w:ascii="Times New Roman" w:cs="Times New Roman" w:hAnsiTheme="minorEastAsia"/>
          <w:color w:val="000000"/>
          <w:sz w:val="24"/>
          <w:szCs w:val="24"/>
          <w:lang w:eastAsia="zh-CN"/>
        </w:rPr>
        <w:t>S&amp;P有效认证证书的数量应与审核员数量相匹配，人均每个审核员匹配的管理体系有效认证证书总数不应超过50张/周期年。</w:t>
      </w:r>
    </w:p>
    <w:p w14:paraId="41277AFB">
      <w:pPr>
        <w:snapToGrid w:val="0"/>
        <w:spacing w:beforeLines="50" w:after="0"/>
        <w:rPr>
          <w:rFonts w:ascii="Times New Roman" w:cs="Times New Roman" w:hAnsiTheme="minorEastAsia"/>
          <w:color w:val="000000"/>
          <w:sz w:val="24"/>
          <w:szCs w:val="24"/>
          <w:lang w:eastAsia="zh-CN"/>
        </w:rPr>
      </w:pPr>
      <w:r>
        <w:rPr>
          <w:rFonts w:hint="eastAsia" w:ascii="Times New Roman" w:cs="Times New Roman" w:hAnsiTheme="minorEastAsia"/>
          <w:color w:val="000000"/>
          <w:sz w:val="24"/>
          <w:szCs w:val="24"/>
          <w:lang w:eastAsia="zh-CN"/>
        </w:rPr>
        <w:t xml:space="preserve">3.11不得委派无HSPM资格的审核员开展HSPM认证审核活动。 </w:t>
      </w:r>
    </w:p>
    <w:p w14:paraId="0FF21804">
      <w:pPr>
        <w:snapToGrid w:val="0"/>
        <w:spacing w:beforeLines="50" w:after="0"/>
        <w:rPr>
          <w:rFonts w:ascii="Times New Roman" w:cs="Times New Roman" w:hAnsiTheme="minorEastAsia"/>
          <w:color w:val="000000"/>
          <w:sz w:val="24"/>
          <w:szCs w:val="24"/>
          <w:lang w:eastAsia="zh-CN"/>
        </w:rPr>
      </w:pPr>
      <w:r>
        <w:rPr>
          <w:rFonts w:ascii="Times New Roman" w:cs="Times New Roman" w:hAnsiTheme="minorEastAsia"/>
          <w:color w:val="000000"/>
          <w:sz w:val="24"/>
          <w:szCs w:val="24"/>
          <w:lang w:eastAsia="zh-CN"/>
        </w:rPr>
        <w:t>3.</w:t>
      </w:r>
      <w:r>
        <w:rPr>
          <w:rFonts w:hint="eastAsia" w:ascii="Times New Roman" w:cs="Times New Roman" w:hAnsiTheme="minorEastAsia"/>
          <w:color w:val="000000"/>
          <w:sz w:val="24"/>
          <w:szCs w:val="24"/>
          <w:lang w:eastAsia="zh-CN"/>
        </w:rPr>
        <w:t>12不得以“认证证书在国家认监委网站可查”或近似表述进行广告宣传。</w:t>
      </w:r>
    </w:p>
    <w:p w14:paraId="412FC4FB">
      <w:pPr>
        <w:pStyle w:val="2"/>
        <w:spacing w:beforeLines="50"/>
        <w:rPr>
          <w:rFonts w:ascii="Times New Roman" w:hAnsi="Times New Roman" w:cs="Times New Roman" w:eastAsiaTheme="minorEastAsia"/>
          <w:lang w:eastAsia="zh-CN"/>
        </w:rPr>
      </w:pPr>
      <w:bookmarkStart w:id="5" w:name="_Toc227742091"/>
      <w:r>
        <w:rPr>
          <w:rFonts w:ascii="Times New Roman" w:hAnsi="Times New Roman" w:cs="Times New Roman" w:eastAsiaTheme="minorEastAsia"/>
          <w:lang w:eastAsia="zh-CN"/>
        </w:rPr>
        <w:t>4</w:t>
      </w:r>
      <w:r>
        <w:rPr>
          <w:rFonts w:hint="eastAsia" w:ascii="Times New Roman" w:cs="Times New Roman" w:hAnsiTheme="minorEastAsia" w:eastAsiaTheme="minorEastAsia"/>
          <w:lang w:eastAsia="zh-CN"/>
        </w:rPr>
        <w:t>对认证人员的基本要求</w:t>
      </w:r>
      <w:bookmarkEnd w:id="5"/>
    </w:p>
    <w:p w14:paraId="3E980767">
      <w:pPr>
        <w:snapToGrid w:val="0"/>
        <w:spacing w:beforeLines="50" w:after="0"/>
        <w:rPr>
          <w:rFonts w:ascii="Times New Roman" w:cs="Times New Roman" w:hAnsiTheme="minorEastAsia"/>
          <w:color w:val="000000"/>
          <w:sz w:val="24"/>
          <w:szCs w:val="24"/>
          <w:lang w:eastAsia="zh-CN"/>
        </w:rPr>
      </w:pPr>
      <w:r>
        <w:rPr>
          <w:rFonts w:ascii="Times New Roman" w:cs="Times New Roman" w:hAnsiTheme="minorEastAsia"/>
          <w:color w:val="000000"/>
          <w:sz w:val="24"/>
          <w:szCs w:val="24"/>
          <w:lang w:eastAsia="zh-CN"/>
        </w:rPr>
        <w:t>4.</w:t>
      </w:r>
      <w:r>
        <w:rPr>
          <w:rFonts w:hint="eastAsia" w:ascii="Times New Roman" w:cs="Times New Roman" w:hAnsiTheme="minorEastAsia"/>
          <w:color w:val="000000"/>
          <w:sz w:val="24"/>
          <w:szCs w:val="24"/>
          <w:lang w:eastAsia="zh-CN"/>
        </w:rPr>
        <w:t>1遵守认证认可相关法律法规、部门规章及规范性文件的要求，具有从事认证工作的基本职业操守，对认证活动及其结果的真实性和有效性承担相应责任。认证管理人员包括机构主要业务主管负责人、合同评审员、审核方案策划人员、人员能力评价人员、审核实施人员和认证决定人员等。</w:t>
      </w:r>
    </w:p>
    <w:p w14:paraId="511E53DD">
      <w:pPr>
        <w:snapToGrid w:val="0"/>
        <w:spacing w:beforeLines="50" w:after="0"/>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4.1.1 掌握IECQ QC 080000《有害物质过程管理体系要求(HSPM)》标准知识;</w:t>
      </w:r>
    </w:p>
    <w:p w14:paraId="204F8965">
      <w:pPr>
        <w:snapToGrid w:val="0"/>
        <w:spacing w:beforeLines="50" w:after="0"/>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4.1.2 掌握相应管理岗位所涉及机构认证过程知识，包括但不限于GBT27021.1-2017，IECQ 03-</w:t>
      </w:r>
    </w:p>
    <w:p w14:paraId="346EEA80">
      <w:pPr>
        <w:snapToGrid w:val="0"/>
        <w:spacing w:beforeLines="50" w:after="0"/>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1，IECQ 03-5要求;</w:t>
      </w:r>
    </w:p>
    <w:p w14:paraId="5B7005EF">
      <w:pPr>
        <w:snapToGrid w:val="0"/>
        <w:spacing w:beforeLines="50" w:after="0"/>
        <w:rPr>
          <w:rFonts w:ascii="Times New Roman" w:cs="Times New Roman" w:hAnsiTheme="minorEastAsia"/>
          <w:sz w:val="24"/>
          <w:szCs w:val="24"/>
          <w:lang w:eastAsia="zh-CN"/>
        </w:rPr>
      </w:pPr>
      <w:r>
        <w:rPr>
          <w:rFonts w:hint="eastAsia" w:ascii="Times New Roman" w:cs="Times New Roman" w:hAnsiTheme="minorEastAsia"/>
          <w:sz w:val="24"/>
          <w:szCs w:val="24"/>
          <w:lang w:eastAsia="zh-CN"/>
        </w:rPr>
        <w:t>4.1.3 客户的业务领域的知识和客户产品/过程和组织的知识(专业能力)--见3.6条款.</w:t>
      </w:r>
    </w:p>
    <w:p w14:paraId="1CA91689">
      <w:pPr>
        <w:snapToGrid w:val="0"/>
        <w:spacing w:beforeLines="50" w:after="0"/>
        <w:rPr>
          <w:rFonts w:ascii="Times New Roman" w:cs="Times New Roman" w:hAnsiTheme="minorEastAsia"/>
          <w:color w:val="000000"/>
          <w:sz w:val="24"/>
          <w:szCs w:val="24"/>
          <w:lang w:eastAsia="zh-CN"/>
        </w:rPr>
      </w:pPr>
      <w:r>
        <w:rPr>
          <w:rFonts w:ascii="Times New Roman" w:cs="Times New Roman" w:hAnsiTheme="minorEastAsia"/>
          <w:color w:val="000000"/>
          <w:sz w:val="24"/>
          <w:szCs w:val="24"/>
          <w:lang w:eastAsia="zh-CN"/>
        </w:rPr>
        <w:t>4.</w:t>
      </w:r>
      <w:r>
        <w:rPr>
          <w:rFonts w:hint="eastAsia" w:ascii="Times New Roman" w:cs="Times New Roman" w:hAnsiTheme="minorEastAsia"/>
          <w:color w:val="000000"/>
          <w:sz w:val="24"/>
          <w:szCs w:val="24"/>
          <w:lang w:eastAsia="zh-CN"/>
        </w:rPr>
        <w:t>2审核员应取得国家认监委确定的认证人员注册机构批准的任一管理体系审核员注册资格，并经S&amp;P评价合格。</w:t>
      </w:r>
    </w:p>
    <w:p w14:paraId="7CF060CE">
      <w:pPr>
        <w:snapToGrid w:val="0"/>
        <w:spacing w:beforeLines="50" w:after="0"/>
        <w:rPr>
          <w:rFonts w:ascii="Times New Roman" w:cs="Times New Roman" w:hAnsiTheme="minorEastAsia"/>
          <w:color w:val="000000"/>
          <w:sz w:val="24"/>
          <w:szCs w:val="24"/>
          <w:lang w:eastAsia="zh-CN"/>
        </w:rPr>
      </w:pPr>
      <w:r>
        <w:rPr>
          <w:rFonts w:hint="eastAsia" w:ascii="Times New Roman" w:cs="Times New Roman" w:hAnsiTheme="minorEastAsia"/>
          <w:color w:val="000000"/>
          <w:sz w:val="24"/>
          <w:szCs w:val="24"/>
          <w:lang w:eastAsia="zh-CN"/>
        </w:rPr>
        <w:t>4.3审核员不得接受超出其注册资格的认证审核任务。</w:t>
      </w:r>
    </w:p>
    <w:p w14:paraId="49552B86">
      <w:pPr>
        <w:snapToGrid w:val="0"/>
        <w:spacing w:beforeLines="50" w:after="0"/>
        <w:rPr>
          <w:rFonts w:ascii="Times New Roman" w:cs="Times New Roman" w:hAnsiTheme="minorEastAsia"/>
          <w:color w:val="000000"/>
          <w:sz w:val="24"/>
          <w:szCs w:val="24"/>
          <w:lang w:eastAsia="zh-CN"/>
        </w:rPr>
      </w:pPr>
      <w:r>
        <w:rPr>
          <w:rFonts w:ascii="Times New Roman" w:cs="Times New Roman" w:hAnsiTheme="minorEastAsia"/>
          <w:color w:val="000000"/>
          <w:sz w:val="24"/>
          <w:szCs w:val="24"/>
          <w:lang w:eastAsia="zh-CN"/>
        </w:rPr>
        <w:t>4.</w:t>
      </w:r>
      <w:r>
        <w:rPr>
          <w:rFonts w:hint="eastAsia" w:ascii="Times New Roman" w:cs="Times New Roman" w:hAnsiTheme="minorEastAsia"/>
          <w:color w:val="000000"/>
          <w:sz w:val="24"/>
          <w:szCs w:val="24"/>
          <w:lang w:eastAsia="zh-CN"/>
        </w:rPr>
        <w:t>4不得发生影响认证公正性的行为，应主动告知认证机构其所了解的任何可能使本人或认证机构陷入利益冲突的情况。因认证人员未履行告知义务而导致非公正性认证结果的，认证人员应当负有连带责任（如承担因此造成的经济损失）。</w:t>
      </w:r>
    </w:p>
    <w:p w14:paraId="20642CCF">
      <w:pPr>
        <w:snapToGrid w:val="0"/>
        <w:spacing w:beforeLines="50" w:after="0"/>
        <w:rPr>
          <w:rFonts w:ascii="Times New Roman" w:cs="Times New Roman" w:hAnsiTheme="minorEastAsia"/>
          <w:color w:val="000000"/>
          <w:sz w:val="24"/>
          <w:szCs w:val="24"/>
          <w:lang w:eastAsia="zh-CN"/>
        </w:rPr>
      </w:pPr>
      <w:r>
        <w:rPr>
          <w:rFonts w:ascii="Times New Roman" w:cs="Times New Roman" w:hAnsiTheme="minorEastAsia"/>
          <w:color w:val="000000"/>
          <w:sz w:val="24"/>
          <w:szCs w:val="24"/>
          <w:lang w:eastAsia="zh-CN"/>
        </w:rPr>
        <w:t>4.</w:t>
      </w:r>
      <w:r>
        <w:rPr>
          <w:rFonts w:hint="eastAsia" w:ascii="Times New Roman" w:cs="Times New Roman" w:hAnsiTheme="minorEastAsia"/>
          <w:color w:val="000000"/>
          <w:sz w:val="24"/>
          <w:szCs w:val="24"/>
          <w:lang w:eastAsia="zh-CN"/>
        </w:rPr>
        <w:t>5按要求接受人员注册/保持注册所要求的继续教育培训，以及认证机构要求的能力（包括知识和技能）提升活动，以持续具备从事认证工作相适宜的能力。</w:t>
      </w:r>
    </w:p>
    <w:p w14:paraId="23A70E8D">
      <w:pPr>
        <w:pStyle w:val="2"/>
        <w:spacing w:beforeLines="50"/>
        <w:rPr>
          <w:rFonts w:ascii="Times New Roman" w:hAnsi="Times New Roman" w:cs="Times New Roman" w:eastAsiaTheme="minorEastAsia"/>
          <w:lang w:eastAsia="zh-CN"/>
        </w:rPr>
      </w:pPr>
      <w:bookmarkStart w:id="6" w:name="_Toc227742092"/>
      <w:r>
        <w:rPr>
          <w:rFonts w:ascii="Times New Roman" w:hAnsi="Times New Roman" w:cs="Times New Roman" w:eastAsiaTheme="minorEastAsia"/>
          <w:lang w:eastAsia="zh-CN"/>
        </w:rPr>
        <w:t>5</w:t>
      </w:r>
      <w:r>
        <w:rPr>
          <w:rFonts w:hint="eastAsia" w:ascii="Times New Roman" w:cs="Times New Roman" w:hAnsiTheme="minorEastAsia" w:eastAsiaTheme="minorEastAsia"/>
          <w:lang w:eastAsia="zh-CN"/>
        </w:rPr>
        <w:t>认证程序</w:t>
      </w:r>
      <w:bookmarkEnd w:id="6"/>
    </w:p>
    <w:p w14:paraId="59AD9977">
      <w:pPr>
        <w:pStyle w:val="3"/>
        <w:spacing w:beforeLines="50"/>
        <w:rPr>
          <w:rFonts w:ascii="Times New Roman" w:hAnsi="Times New Roman" w:cs="Times New Roman" w:eastAsiaTheme="minorEastAsia"/>
          <w:lang w:eastAsia="zh-CN"/>
        </w:rPr>
      </w:pPr>
      <w:bookmarkStart w:id="7" w:name="_Toc227742093"/>
      <w:r>
        <w:rPr>
          <w:rFonts w:ascii="Times New Roman" w:hAnsi="Times New Roman" w:cs="Times New Roman" w:eastAsiaTheme="minorEastAsia"/>
          <w:lang w:eastAsia="zh-CN"/>
        </w:rPr>
        <w:t>5.1</w:t>
      </w:r>
      <w:r>
        <w:rPr>
          <w:rFonts w:hint="eastAsia" w:ascii="Times New Roman" w:cs="Times New Roman" w:hAnsiTheme="minorEastAsia" w:eastAsiaTheme="minorEastAsia"/>
          <w:lang w:eastAsia="zh-CN"/>
        </w:rPr>
        <w:t>认证申请</w:t>
      </w:r>
      <w:bookmarkEnd w:id="7"/>
    </w:p>
    <w:p w14:paraId="21BEF59E">
      <w:pPr>
        <w:snapToGrid w:val="0"/>
        <w:spacing w:beforeLines="50" w:after="0"/>
        <w:rPr>
          <w:rFonts w:ascii="Times New Roman" w:hAnsi="Times New Roman" w:cs="Times New Roman"/>
          <w:color w:val="000000"/>
          <w:sz w:val="24"/>
          <w:szCs w:val="24"/>
          <w:lang w:eastAsia="zh-CN"/>
        </w:rPr>
      </w:pPr>
      <w:r>
        <w:rPr>
          <w:rFonts w:ascii="Times New Roman" w:hAnsi="Times New Roman" w:cs="Times New Roman"/>
          <w:color w:val="000000"/>
          <w:sz w:val="24"/>
          <w:szCs w:val="24"/>
          <w:lang w:eastAsia="zh-CN"/>
        </w:rPr>
        <w:t xml:space="preserve">5.1.1 </w:t>
      </w:r>
      <w:r>
        <w:rPr>
          <w:rFonts w:hint="eastAsia" w:ascii="Times New Roman" w:hAnsi="Times New Roman" w:cs="Times New Roman"/>
          <w:color w:val="000000"/>
          <w:sz w:val="24"/>
          <w:szCs w:val="24"/>
          <w:lang w:eastAsia="zh-CN"/>
        </w:rPr>
        <w:t>S&amp;P应向认证委托人至少公开以下信息：</w:t>
      </w:r>
    </w:p>
    <w:p w14:paraId="53CB8420">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（1）可开展的认证业务范围，获得认可的情况，以及分包境外认证机构业务的情况；</w:t>
      </w:r>
    </w:p>
    <w:p w14:paraId="50D5B417">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（2）开展认证活动所依据的认证标准以及相关的认证方案、认证流程；</w:t>
      </w:r>
    </w:p>
    <w:p w14:paraId="0E8987F8">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（3）授予、拒绝、保持、更新、暂停（恢复）、注销、撤销认证证书以及扩大或缩小认证范围的程序规定；</w:t>
      </w:r>
    </w:p>
    <w:p w14:paraId="64D97EA0">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（4）拟向认证委托人获取的信息以及保密规定；</w:t>
      </w:r>
    </w:p>
    <w:p w14:paraId="06ABB16F">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（5）认证收费标准；</w:t>
      </w:r>
    </w:p>
    <w:p w14:paraId="2F458A24">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（6）认证证书、认证标志及相关的使用规定；</w:t>
      </w:r>
    </w:p>
    <w:p w14:paraId="1C9A90BA">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（7）对认证过程和结果的申诉、投诉规定；</w:t>
      </w:r>
    </w:p>
    <w:p w14:paraId="7BF1D0E9">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（8）认证标准换版的规定（适用时）；</w:t>
      </w:r>
    </w:p>
    <w:p w14:paraId="7E7A754E">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（9）“提前较短时间通知的审核”的情形；</w:t>
      </w:r>
    </w:p>
    <w:p w14:paraId="58A04017">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（10）其他需要公开的信息。</w:t>
      </w:r>
    </w:p>
    <w:p w14:paraId="08FF3313">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5.1.2提出认证申请时，认证委托人应具备以下条件：</w:t>
      </w:r>
    </w:p>
    <w:p w14:paraId="12B5BD34">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（1）取得合法主体资格，并处于有效期内；</w:t>
      </w:r>
    </w:p>
    <w:p w14:paraId="7C31C93A">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（2）取得相关法律法规规定的行政许可（适用时），并处于有效期内；</w:t>
      </w:r>
    </w:p>
    <w:p w14:paraId="5A58CB6E">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（3）已按本规则依据的认证标准建立HSPM，且运行满三个月；</w:t>
      </w:r>
    </w:p>
    <w:p w14:paraId="28273A75">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（4）因获证组织自身原因被原发证机构暂停或撤销认证证书已满一年（适用时）；</w:t>
      </w:r>
    </w:p>
    <w:p w14:paraId="6A480816">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（5）原</w:t>
      </w:r>
      <w:r>
        <w:rPr>
          <w:rFonts w:hint="eastAsia" w:ascii="Times New Roman" w:cs="Times New Roman" w:hAnsiTheme="minorEastAsia"/>
          <w:color w:val="000000"/>
          <w:sz w:val="24"/>
          <w:szCs w:val="24"/>
          <w:lang w:eastAsia="zh-CN"/>
        </w:rPr>
        <w:t>HSPM</w:t>
      </w:r>
      <w:r>
        <w:rPr>
          <w:rFonts w:hint="eastAsia" w:ascii="Times New Roman" w:hAnsi="Times New Roman" w:cs="Times New Roman"/>
          <w:color w:val="000000"/>
          <w:sz w:val="24"/>
          <w:szCs w:val="24"/>
          <w:lang w:eastAsia="zh-CN"/>
        </w:rPr>
        <w:t>认证证书发证机构被国家认监委撤销</w:t>
      </w:r>
      <w:r>
        <w:rPr>
          <w:rFonts w:hint="eastAsia" w:ascii="Times New Roman" w:cs="Times New Roman" w:hAnsiTheme="minorEastAsia"/>
          <w:color w:val="000000"/>
          <w:sz w:val="24"/>
          <w:szCs w:val="24"/>
          <w:lang w:eastAsia="zh-CN"/>
        </w:rPr>
        <w:t>HSPM</w:t>
      </w:r>
      <w:r>
        <w:rPr>
          <w:rFonts w:hint="eastAsia" w:ascii="Times New Roman" w:hAnsi="Times New Roman" w:cs="Times New Roman"/>
          <w:color w:val="000000"/>
          <w:sz w:val="24"/>
          <w:szCs w:val="24"/>
          <w:lang w:eastAsia="zh-CN"/>
        </w:rPr>
        <w:t>认证资质已满三个月（适用时）；</w:t>
      </w:r>
    </w:p>
    <w:p w14:paraId="41378D79">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（6）当前未被行政监管部门责令停产停业整顿；</w:t>
      </w:r>
    </w:p>
    <w:p w14:paraId="67C3F89C">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（7）当前未列入“国家企业信用信息公示系统”和“信用中国”发布的严重违法失信名单；</w:t>
      </w:r>
    </w:p>
    <w:p w14:paraId="7F301F62">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（8）一年内未发生被行政监管部门责令停产停业整顿的重大事故；</w:t>
      </w:r>
    </w:p>
    <w:p w14:paraId="272571E6">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（9）一年内申请认证范围内的产品未发生国家监督抽查不合格，或发生产品国家监督抽查不合格但已按相关规定整改合格；</w:t>
      </w:r>
    </w:p>
    <w:p w14:paraId="78F4E71D">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 xml:space="preserve">（10）其他应具备的条件。 </w:t>
      </w:r>
    </w:p>
    <w:p w14:paraId="45D5EB11">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5.1.3 S&amp;P应要求认证委托人提供以下信息和文件资料：</w:t>
      </w:r>
    </w:p>
    <w:p w14:paraId="70F5CEF3">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（1）认证申请，包括认证委托人的名称、地址、认证依据的标准、申请的认证范围、认证范围内人员数量及影响体系有效性的外包过程；</w:t>
      </w:r>
    </w:p>
    <w:p w14:paraId="203A1244">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（2）法律地位的证明文件，当HSPM覆盖多个法律实体时，应提供每个法律实体的法律地位证明文件；</w:t>
      </w:r>
    </w:p>
    <w:p w14:paraId="2C27B2A1">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（3）申请认证范围所涉及的法律法规要求的行政许可文件、资质证书、强制性产品认证证书等；</w:t>
      </w:r>
    </w:p>
    <w:p w14:paraId="5B79DFB4">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（4）组织机构及职责；</w:t>
      </w:r>
    </w:p>
    <w:p w14:paraId="13728A9D">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（5）生产/服务的流程、班次及轮班情况和季节性信息；</w:t>
      </w:r>
    </w:p>
    <w:p w14:paraId="3064B155">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（6）管理体系运行满三个月的证据；</w:t>
      </w:r>
    </w:p>
    <w:p w14:paraId="1C3F2C0E">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（7）一年内所发生的质量、环境、安全等事故、行政处罚、产品国家监督抽查不合格、其他抽查不合格的情况及整改情况（适用时）；</w:t>
      </w:r>
    </w:p>
    <w:p w14:paraId="0C1D8487">
      <w:pPr>
        <w:snapToGri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 8）其他需要提供的文件。</w:t>
      </w:r>
    </w:p>
    <w:p w14:paraId="72A8CA8C">
      <w:pPr>
        <w:pStyle w:val="3"/>
        <w:spacing w:beforeLines="50"/>
        <w:rPr>
          <w:rFonts w:ascii="Times New Roman" w:hAnsi="Times New Roman" w:cs="Times New Roman" w:eastAsiaTheme="minorEastAsia"/>
          <w:lang w:eastAsia="zh-CN"/>
        </w:rPr>
      </w:pPr>
      <w:bookmarkStart w:id="8" w:name="_Toc227742094"/>
      <w:r>
        <w:rPr>
          <w:rFonts w:ascii="Times New Roman" w:hAnsi="Times New Roman" w:cs="Times New Roman" w:eastAsiaTheme="minorEastAsia"/>
          <w:lang w:eastAsia="zh-CN"/>
        </w:rPr>
        <w:t>5.2</w:t>
      </w:r>
      <w:r>
        <w:rPr>
          <w:rFonts w:hint="eastAsia" w:ascii="Times New Roman" w:cs="Times New Roman" w:hAnsiTheme="minorEastAsia" w:eastAsiaTheme="minorEastAsia"/>
          <w:lang w:eastAsia="zh-CN"/>
        </w:rPr>
        <w:t>申请评审</w:t>
      </w:r>
      <w:bookmarkEnd w:id="8"/>
    </w:p>
    <w:p w14:paraId="7AC23AB6">
      <w:pPr>
        <w:widowControl w:val="0"/>
        <w:autoSpaceDE w:val="0"/>
        <w:autoSpaceDN w:val="0"/>
        <w:adjustRightInd w:val="0"/>
        <w:spacing w:beforeLines="50" w:after="0"/>
        <w:rPr>
          <w:rFonts w:ascii="Times New Roman" w:hAnsi="Times New Roman" w:cs="Times New Roman"/>
          <w:color w:val="000000"/>
          <w:sz w:val="24"/>
          <w:szCs w:val="24"/>
          <w:lang w:eastAsia="zh-CN"/>
        </w:rPr>
      </w:pPr>
      <w:r>
        <w:rPr>
          <w:rFonts w:ascii="Times New Roman" w:hAnsi="Times New Roman" w:cs="Times New Roman"/>
          <w:color w:val="000000"/>
          <w:sz w:val="24"/>
          <w:szCs w:val="24"/>
          <w:lang w:eastAsia="zh-CN"/>
        </w:rPr>
        <w:t>5.</w:t>
      </w:r>
      <w:r>
        <w:rPr>
          <w:rFonts w:hint="eastAsia" w:ascii="Times New Roman" w:hAnsi="Times New Roman" w:cs="Times New Roman"/>
          <w:color w:val="000000"/>
          <w:sz w:val="24"/>
          <w:szCs w:val="24"/>
          <w:lang w:eastAsia="zh-CN"/>
        </w:rPr>
        <w:t>2.1 S&amp;P对认证委托人提交的申请信息和文件资料实施评审，仔细鉴别申请信息和文件资料的真伪，确定是否受理认证申请，并保存相应评审记录。</w:t>
      </w:r>
    </w:p>
    <w:p w14:paraId="24EC9200">
      <w:pPr>
        <w:widowControl w:val="0"/>
        <w:autoSpaceDE w:val="0"/>
        <w:autoSpaceDN w:val="0"/>
        <w:adjustRightInd w:val="0"/>
        <w:spacing w:beforeLines="50" w:after="0"/>
        <w:rPr>
          <w:rFonts w:ascii="Times New Roman" w:hAnsi="Times New Roman" w:cs="Times New Roman"/>
          <w:color w:val="000000"/>
          <w:sz w:val="24"/>
          <w:szCs w:val="24"/>
          <w:lang w:eastAsia="zh-CN"/>
        </w:rPr>
      </w:pPr>
    </w:p>
    <w:p w14:paraId="7A385997">
      <w:pPr>
        <w:widowControl w:val="0"/>
        <w:autoSpaceDE w:val="0"/>
        <w:autoSpaceDN w:val="0"/>
        <w:adjustRightIn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5.2.2 满足以下条件的，可以受理认证申请：</w:t>
      </w:r>
    </w:p>
    <w:p w14:paraId="6B01043D">
      <w:pPr>
        <w:widowControl w:val="0"/>
        <w:autoSpaceDE w:val="0"/>
        <w:autoSpaceDN w:val="0"/>
        <w:adjustRightIn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 1）认证委托人已具备受理条件（见 5.1.2）；</w:t>
      </w:r>
    </w:p>
    <w:p w14:paraId="5268DD97">
      <w:pPr>
        <w:widowControl w:val="0"/>
        <w:autoSpaceDE w:val="0"/>
        <w:autoSpaceDN w:val="0"/>
        <w:adjustRightIn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 2）认证机构具备实施认证的能力；</w:t>
      </w:r>
    </w:p>
    <w:p w14:paraId="23BB6BB7">
      <w:pPr>
        <w:widowControl w:val="0"/>
        <w:autoSpaceDE w:val="0"/>
        <w:autoSpaceDN w:val="0"/>
        <w:adjustRightInd w:val="0"/>
        <w:spacing w:beforeLines="50" w:after="0"/>
        <w:rPr>
          <w:rFonts w:ascii="Times New Roman" w:hAnsi="Times New Roman" w:cs="Times New Roman"/>
          <w:color w:val="000000"/>
          <w:sz w:val="24"/>
          <w:szCs w:val="24"/>
          <w:lang w:eastAsia="zh-CN"/>
        </w:rPr>
      </w:pPr>
      <w:r>
        <w:rPr>
          <w:rFonts w:hint="eastAsia" w:ascii="Times New Roman" w:hAnsi="Times New Roman" w:cs="Times New Roman"/>
          <w:color w:val="000000"/>
          <w:sz w:val="24"/>
          <w:szCs w:val="24"/>
          <w:lang w:eastAsia="zh-CN"/>
        </w:rPr>
        <w:t>（ 3）双方就认证事宜达成一致。</w:t>
      </w:r>
    </w:p>
    <w:p w14:paraId="7D5CDD17">
      <w:pPr>
        <w:widowControl w:val="0"/>
        <w:autoSpaceDE w:val="0"/>
        <w:autoSpaceDN w:val="0"/>
        <w:adjustRightInd w:val="0"/>
        <w:spacing w:beforeLines="50" w:after="0"/>
        <w:rPr>
          <w:rFonts w:ascii="Times New Roman" w:hAnsi="Times New Roman" w:cs="Times New Roman"/>
          <w:sz w:val="24"/>
          <w:szCs w:val="24"/>
          <w:lang w:eastAsia="zh-CN" w:bidi="ar-SA"/>
        </w:rPr>
      </w:pPr>
      <w:r>
        <w:rPr>
          <w:rFonts w:hint="eastAsia" w:ascii="Times New Roman" w:hAnsi="Times New Roman" w:cs="Times New Roman"/>
          <w:color w:val="000000"/>
          <w:sz w:val="24"/>
          <w:szCs w:val="24"/>
          <w:lang w:eastAsia="zh-CN"/>
        </w:rPr>
        <w:t>5.2.3 S&amp;P应将申请评审的结果告知认证委托人。</w:t>
      </w:r>
    </w:p>
    <w:p w14:paraId="7D4AD6BC">
      <w:pPr>
        <w:pStyle w:val="3"/>
        <w:rPr>
          <w:rFonts w:hAnsi="Times New Roman"/>
          <w:lang w:eastAsia="zh-CN" w:bidi="ar-SA"/>
        </w:rPr>
      </w:pPr>
      <w:bookmarkStart w:id="9" w:name="_Toc227742095"/>
      <w:r>
        <w:rPr>
          <w:rFonts w:hAnsi="Times New Roman"/>
          <w:lang w:eastAsia="zh-CN" w:bidi="ar-SA"/>
        </w:rPr>
        <w:t>5.3</w:t>
      </w:r>
      <w:r>
        <w:rPr>
          <w:rFonts w:hint="eastAsia"/>
          <w:lang w:eastAsia="zh-CN" w:bidi="ar-SA"/>
        </w:rPr>
        <w:t>认证合同及相关责任</w:t>
      </w:r>
      <w:bookmarkEnd w:id="9"/>
    </w:p>
    <w:p w14:paraId="09054A48">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 xml:space="preserve">3.1 通过申请评审的，S&amp;P应与每个认证委托人签订具有法律效力的认证合同，明确认证服务的费用、付费方式和违约条款，及认证委托人、认证机构和获证组织的责任。认证费用应由认证委托人向S&amp;P直接支付。 </w:t>
      </w:r>
    </w:p>
    <w:p w14:paraId="232F50FC">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3.2 S&amp;P应及时向符合认证要求的认证委托人颁发认证证书，对获证组织HSPM运行情况进行有效监督，通过网站向社会公布认证证书信息；因S&amp;P批准资质注销或被撤销导致获证组织认证证书无法有效保持的，需及时告知获证组织并做出妥善处理，并承担由此导致的获证组织在合同上约定或法律认定的经济损失。</w:t>
      </w:r>
    </w:p>
    <w:p w14:paraId="1816A6FA">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3.3 认证委托人应遵守认证程序要求，如实提供相关材料信息，配合认证行政监管部门的监督检查和S&amp;P对投诉的调查，及时向S&amp;P通报HSPM及 5.1.2 中条件的变更情况，承担选择的认证机构资质被撤销而带来的认证活动终止、认证证书无法使用的风险。</w:t>
      </w:r>
    </w:p>
    <w:p w14:paraId="3622743C">
      <w:pPr>
        <w:widowControl w:val="0"/>
        <w:autoSpaceDE w:val="0"/>
        <w:autoSpaceDN w:val="0"/>
        <w:adjustRightInd w:val="0"/>
        <w:spacing w:beforeLines="50"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3.4 获证组织应遵守认证程序要求，如实提供相关材料和信息，通过认证后持续有效运行，配合认证行政监管部门的监督检查和S&amp;P对投诉的调查，在广告、宣传等活动中正确使用认证证书、认证标志和有关信息，及时向S&amp;P通报管理体系及 5.1.2 中条件的变更情况,承担选择的认证机构资质被撤销而带来的认证证书无法使用的风险。</w:t>
      </w:r>
    </w:p>
    <w:p w14:paraId="684DDD5C">
      <w:pPr>
        <w:pStyle w:val="3"/>
        <w:rPr>
          <w:rFonts w:hAnsi="Times New Roman"/>
          <w:lang w:eastAsia="zh-CN" w:bidi="ar-SA"/>
        </w:rPr>
      </w:pPr>
      <w:bookmarkStart w:id="10" w:name="_Toc227742096"/>
      <w:r>
        <w:rPr>
          <w:rFonts w:hAnsi="Times New Roman"/>
          <w:lang w:eastAsia="zh-CN" w:bidi="ar-SA"/>
        </w:rPr>
        <w:t>5.4</w:t>
      </w:r>
      <w:r>
        <w:rPr>
          <w:rFonts w:hint="eastAsia"/>
          <w:lang w:eastAsia="zh-CN" w:bidi="ar-SA"/>
        </w:rPr>
        <w:t>审核方案和审核策划</w:t>
      </w:r>
      <w:bookmarkEnd w:id="10"/>
    </w:p>
    <w:p w14:paraId="587EB833">
      <w:pPr>
        <w:widowControl w:val="0"/>
        <w:autoSpaceDE w:val="0"/>
        <w:autoSpaceDN w:val="0"/>
        <w:adjustRightInd w:val="0"/>
        <w:spacing w:beforeLines="50" w:after="0"/>
        <w:rPr>
          <w:rFonts w:ascii="Times New Roman" w:cs="Times New Roman" w:hAnsiTheme="minorEastAsia"/>
          <w:b/>
          <w:sz w:val="24"/>
          <w:szCs w:val="24"/>
          <w:lang w:eastAsia="zh-CN" w:bidi="ar-SA"/>
        </w:rPr>
      </w:pPr>
      <w:r>
        <w:rPr>
          <w:rFonts w:ascii="Times New Roman" w:cs="Times New Roman" w:hAnsiTheme="minorEastAsia"/>
          <w:b/>
          <w:sz w:val="24"/>
          <w:szCs w:val="24"/>
          <w:lang w:eastAsia="zh-CN" w:bidi="ar-SA"/>
        </w:rPr>
        <w:t>5.</w:t>
      </w:r>
      <w:r>
        <w:rPr>
          <w:rFonts w:hint="eastAsia" w:ascii="Times New Roman" w:cs="Times New Roman" w:hAnsiTheme="minorEastAsia"/>
          <w:b/>
          <w:sz w:val="24"/>
          <w:szCs w:val="24"/>
          <w:lang w:eastAsia="zh-CN" w:bidi="ar-SA"/>
        </w:rPr>
        <w:t xml:space="preserve">4.1审核方案 </w:t>
      </w:r>
    </w:p>
    <w:p w14:paraId="2CB45EA0">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4.1.1 S&amp;P对每一认证委托人建立认证周期内的审核方案，以清晰地识别所需的审核活动。</w:t>
      </w:r>
    </w:p>
    <w:p w14:paraId="252D092C">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4.1.2 初次认证的审核方案应包括两阶段初次认证审核、获证后的监督审核和认证到期前的再认证审核。再认证的审核方案应包括再认证审核、获证后的监督审核和认证到期前的再认证审核。</w:t>
      </w:r>
    </w:p>
    <w:p w14:paraId="28450A20">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4.1.3 初次认证审核和再认证审核是对认证委托人完整体系的审核，应覆盖</w:t>
      </w:r>
      <w:r>
        <w:rPr>
          <w:rFonts w:hint="eastAsia" w:ascii="Times New Roman" w:hAnsi="Times New Roman" w:cs="Times New Roman"/>
          <w:spacing w:val="-3"/>
          <w:sz w:val="24"/>
          <w:szCs w:val="24"/>
          <w:lang w:eastAsia="zh-CN"/>
        </w:rPr>
        <w:t>QC080000</w:t>
      </w:r>
      <w:r>
        <w:rPr>
          <w:rFonts w:hint="eastAsia" w:ascii="Times New Roman" w:cs="Times New Roman" w:hAnsiTheme="minorEastAsia"/>
          <w:sz w:val="24"/>
          <w:szCs w:val="24"/>
          <w:lang w:eastAsia="zh-CN" w:bidi="ar-SA"/>
        </w:rPr>
        <w:t>所有要求，以及认证范围内的典型产品和服务。认证证书有效期内的监督审核累计应覆盖</w:t>
      </w:r>
      <w:r>
        <w:rPr>
          <w:rFonts w:hint="eastAsia" w:ascii="Times New Roman" w:hAnsi="Times New Roman" w:cs="Times New Roman"/>
          <w:spacing w:val="-3"/>
          <w:sz w:val="24"/>
          <w:szCs w:val="24"/>
          <w:lang w:eastAsia="zh-CN"/>
        </w:rPr>
        <w:t>QC080000</w:t>
      </w:r>
      <w:r>
        <w:rPr>
          <w:rFonts w:hint="eastAsia" w:ascii="Times New Roman" w:cs="Times New Roman" w:hAnsiTheme="minorEastAsia"/>
          <w:sz w:val="24"/>
          <w:szCs w:val="24"/>
          <w:lang w:eastAsia="zh-CN" w:bidi="ar-SA"/>
        </w:rPr>
        <w:t xml:space="preserve">所有要求。 </w:t>
      </w:r>
    </w:p>
    <w:p w14:paraId="51A59AAF">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4.1.4初次认证及再认证后的第一次监督审核应在认证证书签发之日起 12个月内进行。此后，第二次监督审核需同时满足以下三个条件：</w:t>
      </w:r>
    </w:p>
    <w:p w14:paraId="0C695386">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（1）距上一次监督审核的结束日期不超过</w:t>
      </w:r>
      <w:r>
        <w:rPr>
          <w:rFonts w:ascii="Times New Roman" w:cs="Times New Roman" w:hAnsiTheme="minorEastAsia"/>
          <w:sz w:val="24"/>
          <w:szCs w:val="24"/>
          <w:lang w:eastAsia="zh-CN" w:bidi="ar-SA"/>
        </w:rPr>
        <w:t>12</w:t>
      </w:r>
      <w:r>
        <w:rPr>
          <w:rFonts w:hint="eastAsia" w:ascii="Times New Roman" w:cs="Times New Roman" w:hAnsiTheme="minorEastAsia"/>
          <w:sz w:val="24"/>
          <w:szCs w:val="24"/>
          <w:lang w:eastAsia="zh-CN" w:bidi="ar-SA"/>
        </w:rPr>
        <w:t>个月，</w:t>
      </w:r>
    </w:p>
    <w:p w14:paraId="56F84E1C">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（2）监督审核每个日历年需要进行</w:t>
      </w:r>
      <w:r>
        <w:rPr>
          <w:rFonts w:ascii="Times New Roman" w:cs="Times New Roman" w:hAnsiTheme="minorEastAsia"/>
          <w:sz w:val="24"/>
          <w:szCs w:val="24"/>
          <w:lang w:eastAsia="zh-CN" w:bidi="ar-SA"/>
        </w:rPr>
        <w:t>1</w:t>
      </w:r>
      <w:r>
        <w:rPr>
          <w:rFonts w:hint="eastAsia" w:ascii="Times New Roman" w:cs="Times New Roman" w:hAnsiTheme="minorEastAsia"/>
          <w:sz w:val="24"/>
          <w:szCs w:val="24"/>
          <w:lang w:eastAsia="zh-CN" w:bidi="ar-SA"/>
        </w:rPr>
        <w:t>次，</w:t>
      </w:r>
    </w:p>
    <w:p w14:paraId="17EFF1F0">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（3）第二次监督审核距认证证书签发之日不超过</w:t>
      </w:r>
      <w:r>
        <w:rPr>
          <w:rFonts w:ascii="Times New Roman" w:cs="Times New Roman" w:hAnsiTheme="minorEastAsia"/>
          <w:sz w:val="24"/>
          <w:szCs w:val="24"/>
          <w:lang w:eastAsia="zh-CN" w:bidi="ar-SA"/>
        </w:rPr>
        <w:t>24</w:t>
      </w:r>
      <w:r>
        <w:rPr>
          <w:rFonts w:hint="eastAsia" w:ascii="Times New Roman" w:cs="Times New Roman" w:hAnsiTheme="minorEastAsia"/>
          <w:sz w:val="24"/>
          <w:szCs w:val="24"/>
          <w:lang w:eastAsia="zh-CN" w:bidi="ar-SA"/>
        </w:rPr>
        <w:t>个月。</w:t>
      </w:r>
    </w:p>
    <w:p w14:paraId="4A67AB4B">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4.1.5 S&amp;P应考虑认证委托人不同班次完成的过程，以及其所证实的对每个班次的控制水平来策划对不同班次实施的审核程度，以确保审核的有效性：</w:t>
      </w:r>
    </w:p>
    <w:p w14:paraId="476E165E">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（1）每次审核应至少对其中的一个班次的生产或服务的活动现场进行审核；</w:t>
      </w:r>
    </w:p>
    <w:p w14:paraId="0F04D3E7">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（2）未审核其他班次生产或服务活动现场的，应记录未审核的理由。 </w:t>
      </w:r>
    </w:p>
    <w:p w14:paraId="50C17228">
      <w:pPr>
        <w:widowControl w:val="0"/>
        <w:autoSpaceDE w:val="0"/>
        <w:autoSpaceDN w:val="0"/>
        <w:adjustRightInd w:val="0"/>
        <w:spacing w:beforeLines="50" w:after="0"/>
        <w:rPr>
          <w:rFonts w:ascii="Times New Roman" w:cs="Times New Roman" w:hAnsiTheme="minorEastAsia"/>
          <w:b/>
          <w:sz w:val="24"/>
          <w:szCs w:val="24"/>
          <w:lang w:eastAsia="zh-CN" w:bidi="ar-SA"/>
        </w:rPr>
      </w:pPr>
      <w:r>
        <w:rPr>
          <w:rFonts w:hint="eastAsia" w:ascii="Times New Roman" w:cs="Times New Roman" w:hAnsiTheme="minorEastAsia"/>
          <w:b/>
          <w:sz w:val="24"/>
          <w:szCs w:val="24"/>
          <w:lang w:eastAsia="zh-CN" w:bidi="ar-SA"/>
        </w:rPr>
        <w:t>5.4.2 审核时间</w:t>
      </w:r>
    </w:p>
    <w:p w14:paraId="1BED15AE">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4.2.1 审核时间包括在认证委托人现场的审核时间以及在现场审核以外实施策划、文件审核和编写审核报告等活动的时间。审核时间以人日计，1人日为 8小时，不应通过增加工作日的工作小时数以减少审核人日数。</w:t>
      </w:r>
    </w:p>
    <w:p w14:paraId="50DFF81C">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如果认证委托人工作日的实际工作时间不足 8小时，则应延长现场审核天数以满足审核时间要求。</w:t>
      </w:r>
    </w:p>
    <w:p w14:paraId="3917A151">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5.4.2.2</w:t>
      </w:r>
      <w:r>
        <w:rPr>
          <w:rFonts w:hint="eastAsia" w:ascii="Times New Roman" w:cs="Times New Roman" w:hAnsiTheme="minorEastAsia"/>
          <w:sz w:val="24"/>
          <w:szCs w:val="24"/>
          <w:lang w:eastAsia="zh-CN" w:bidi="ar-SA"/>
        </w:rPr>
        <w:t xml:space="preserve"> S&amp;P应以附录2所规定的审核时间为基础，考虑认证委托人有效人数、风险类型等因素，建立文件化的不同审核类型审核时间（包括现场审核时间）的确定方法。</w:t>
      </w:r>
    </w:p>
    <w:p w14:paraId="537B3986">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 xml:space="preserve">4.2.3 每次审核的审核时间确定过程应形成记录，尤其是减少审核时间的理由，减少的审核时间不得超过附录2所规定的审核时间的30％，整个审核时间中，现场审核时间不得少于所确定的审核时间的80%。如果审核人日计算后结果包括小数，宜将其调整为最接近的半人日数。 </w:t>
      </w:r>
    </w:p>
    <w:p w14:paraId="146221EC">
      <w:pPr>
        <w:widowControl w:val="0"/>
        <w:autoSpaceDE w:val="0"/>
        <w:autoSpaceDN w:val="0"/>
        <w:adjustRightInd w:val="0"/>
        <w:spacing w:beforeLines="50" w:after="0"/>
        <w:rPr>
          <w:rFonts w:ascii="Times New Roman" w:cs="Times New Roman" w:hAnsiTheme="minorEastAsia"/>
          <w:b/>
          <w:sz w:val="24"/>
          <w:szCs w:val="24"/>
          <w:lang w:eastAsia="zh-CN" w:bidi="ar-SA"/>
        </w:rPr>
      </w:pPr>
      <w:r>
        <w:rPr>
          <w:rFonts w:hint="eastAsia" w:ascii="Times New Roman" w:cs="Times New Roman" w:hAnsiTheme="minorEastAsia"/>
          <w:b/>
          <w:sz w:val="24"/>
          <w:szCs w:val="24"/>
          <w:lang w:eastAsia="zh-CN" w:bidi="ar-SA"/>
        </w:rPr>
        <w:t xml:space="preserve">5.4.3 多场所抽样方案 </w:t>
      </w:r>
    </w:p>
    <w:p w14:paraId="4AC397CB">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 xml:space="preserve">4.3.1 S&amp;P建立并实施文件化的多场所组织认证抽样规则，策划并保留多场所组织的抽样及审核时间确定的记录。 </w:t>
      </w:r>
    </w:p>
    <w:p w14:paraId="518580F4">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4.3.2 多场所抽样应基于与认证委托人活动或过程性质相关的风险的评价。</w:t>
      </w:r>
    </w:p>
    <w:p w14:paraId="1A2FAEE5">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4.3.3 对涵盖相同活动、过程及风险类型的多个相似场所可进行抽样审核，抽样数量应不少于按以下方法计算的结果：</w:t>
      </w:r>
    </w:p>
    <w:p w14:paraId="0599AC88">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pict>
          <v:shape id="_x0000_s1029" o:spid="_x0000_s1029" style="position:absolute;left:0pt;margin-left:131.8pt;margin-top:7.2pt;height:15.45pt;width:21.8pt;z-index:251672576;mso-width-relative:page;mso-height-relative:page;" fillcolor="#000000" filled="t" stroked="f" coordsize="435,308" path="m51,145l106,266,183,0,435,0,435,21,204,21,204,20,195,20,111,308,95,308,31,168,4,180,0,168,51,145e">
            <v:fill on="t" focussize="0,0"/>
            <v:stroke on="f"/>
            <v:imagedata o:title=""/>
            <o:lock v:ext="edit"/>
          </v:shape>
        </w:pict>
      </w:r>
      <w:r>
        <w:rPr>
          <w:rFonts w:hint="eastAsia" w:ascii="Times New Roman" w:cs="Times New Roman" w:hAnsiTheme="minorEastAsia"/>
          <w:sz w:val="24"/>
          <w:szCs w:val="24"/>
          <w:lang w:eastAsia="zh-CN" w:bidi="ar-SA"/>
        </w:rPr>
        <w:t>（1）初次认证审核：Y=  X</w:t>
      </w:r>
    </w:p>
    <w:p w14:paraId="026F1889">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pict>
          <v:shape id="_x0000_s1030" o:spid="_x0000_s1030" style="position:absolute;left:0pt;margin-left:122.6pt;margin-top:8.25pt;height:15.45pt;width:21.8pt;z-index:251673600;mso-width-relative:page;mso-height-relative:page;" fillcolor="#000000" filled="t" stroked="f" coordsize="435,308" path="m51,145l106,266,183,0,435,0,435,21,204,21,204,20,195,20,111,308,95,308,31,168,4,180,0,168,51,145e">
            <v:fill on="t" focussize="0,0"/>
            <v:stroke on="f"/>
            <v:imagedata o:title=""/>
            <o:lock v:ext="edit"/>
          </v:shape>
        </w:pict>
      </w:r>
      <w:r>
        <w:rPr>
          <w:rFonts w:hint="eastAsia" w:ascii="Times New Roman" w:cs="Times New Roman" w:hAnsiTheme="minorEastAsia"/>
          <w:sz w:val="24"/>
          <w:szCs w:val="24"/>
          <w:lang w:eastAsia="zh-CN" w:bidi="ar-SA"/>
        </w:rPr>
        <w:t>（2）监督审核：Y=0.6  X</w:t>
      </w:r>
    </w:p>
    <w:p w14:paraId="24552830">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pict>
          <v:shape id="_x0000_s1031" o:spid="_x0000_s1031" style="position:absolute;left:0pt;margin-left:134.6pt;margin-top:7.3pt;height:15.45pt;width:21.8pt;z-index:251674624;mso-width-relative:page;mso-height-relative:page;" fillcolor="#000000" filled="t" stroked="f" coordsize="435,308" path="m51,145l106,266,183,0,435,0,435,21,204,21,204,20,195,20,111,308,95,308,31,168,4,180,0,168,51,145e">
            <v:fill on="t" focussize="0,0"/>
            <v:stroke on="f"/>
            <v:imagedata o:title=""/>
            <o:lock v:ext="edit"/>
          </v:shape>
        </w:pict>
      </w:r>
      <w:r>
        <w:rPr>
          <w:rFonts w:hint="eastAsia" w:ascii="Times New Roman" w:cs="Times New Roman" w:hAnsiTheme="minorEastAsia"/>
          <w:sz w:val="24"/>
          <w:szCs w:val="24"/>
          <w:lang w:eastAsia="zh-CN" w:bidi="ar-SA"/>
        </w:rPr>
        <w:t>（3）再认证审核：Y=0.8  X</w:t>
      </w:r>
    </w:p>
    <w:p w14:paraId="404F88AC">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注：其中Y为抽样的数量，结果向上取整；X为相似场所的总体数量。</w:t>
      </w:r>
    </w:p>
    <w:p w14:paraId="79ED715C">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4.3.4 对多个非相似场所，则不应抽样，初审和再认证审核应当逐一到各场所进行审核。监督审核应抽取不少于 30%的场所进行审核，且每次审核均应包括中心职能部门。第二次监督审核选取的场所通常不同于第一次监督审核所选取的场所。</w:t>
      </w:r>
    </w:p>
    <w:p w14:paraId="4815CA3E">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4.3.5 分场所审核人日的计算方法参见5.4.2，且现场审核时间不得少于依据附录2所确定的现场审核时间的 50%。</w:t>
      </w:r>
    </w:p>
    <w:p w14:paraId="69CE8068">
      <w:pPr>
        <w:widowControl w:val="0"/>
        <w:autoSpaceDE w:val="0"/>
        <w:autoSpaceDN w:val="0"/>
        <w:adjustRightInd w:val="0"/>
        <w:spacing w:beforeLines="50" w:after="0"/>
        <w:rPr>
          <w:rFonts w:ascii="Times New Roman" w:cs="Times New Roman" w:hAnsiTheme="minorEastAsia"/>
          <w:b/>
          <w:sz w:val="24"/>
          <w:szCs w:val="24"/>
          <w:lang w:eastAsia="zh-CN" w:bidi="ar-SA"/>
        </w:rPr>
      </w:pPr>
      <w:r>
        <w:rPr>
          <w:rFonts w:hint="eastAsia" w:ascii="Times New Roman" w:cs="Times New Roman" w:hAnsiTheme="minorEastAsia"/>
          <w:b/>
          <w:sz w:val="24"/>
          <w:szCs w:val="24"/>
          <w:lang w:eastAsia="zh-CN" w:bidi="ar-SA"/>
        </w:rPr>
        <w:t xml:space="preserve">5.4.4 组建审核组 </w:t>
      </w:r>
    </w:p>
    <w:p w14:paraId="7317D027">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4.4.1 S&amp;P应根据实现审核目的所需的能力和公正性要求组建审核组，至少 1名实施第一阶段审核的审核员应参加第二阶段审核，每个审核组应包括：</w:t>
      </w:r>
    </w:p>
    <w:p w14:paraId="3CBAFBF2">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（1）审核组长：S&amp;P应建立并实施审核组长的选择、培训以及任用的管理制度；审核组长应当具有管理和领导审核组达成审核目标的知识和技能，其能力应至少满足 GB/T 19011《管理体系审核指南》中对审核组长的通用要求;</w:t>
      </w:r>
    </w:p>
    <w:p w14:paraId="58546EB7">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（2） 至少1名与认证委托人所属认证业务范围相匹配的专业人员（专业领域审核员或技术专家）。</w:t>
      </w:r>
    </w:p>
    <w:p w14:paraId="10B2FC11">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（3）至少1名S&amp;P的专职审核员，并确保专职审核员全程参与审核过程。 </w:t>
      </w:r>
    </w:p>
    <w:p w14:paraId="3F300CB9">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4.4.2 技术专家主要负责为审核组提供技术支持，不作为审核员实施审核，不计入审核时间。</w:t>
      </w:r>
    </w:p>
    <w:p w14:paraId="3FF37EE7">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5.4.4.3 实习审核员应在正式审核员的指导下参加审核，不计入审核时间，其在审核过程中的活动由负责指导的正式审核员承担责任。审核组中实习审核员的数量不得超过正式审核员的数量。</w:t>
      </w:r>
    </w:p>
    <w:p w14:paraId="372901F0">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 xml:space="preserve">4.4.4 审核组成员不得与认证委托人存在利益关系。  </w:t>
      </w:r>
    </w:p>
    <w:p w14:paraId="054D10AC">
      <w:pPr>
        <w:widowControl w:val="0"/>
        <w:autoSpaceDE w:val="0"/>
        <w:autoSpaceDN w:val="0"/>
        <w:adjustRightInd w:val="0"/>
        <w:spacing w:beforeLines="50" w:after="0"/>
        <w:rPr>
          <w:rFonts w:ascii="Times New Roman" w:cs="Times New Roman" w:hAnsiTheme="minorEastAsia"/>
          <w:b/>
          <w:sz w:val="24"/>
          <w:szCs w:val="24"/>
          <w:lang w:eastAsia="zh-CN" w:bidi="ar-SA"/>
        </w:rPr>
      </w:pPr>
      <w:r>
        <w:rPr>
          <w:rFonts w:ascii="Times New Roman" w:cs="Times New Roman" w:hAnsiTheme="minorEastAsia"/>
          <w:b/>
          <w:sz w:val="24"/>
          <w:szCs w:val="24"/>
          <w:lang w:eastAsia="zh-CN" w:bidi="ar-SA"/>
        </w:rPr>
        <w:t>5.</w:t>
      </w:r>
      <w:r>
        <w:rPr>
          <w:rFonts w:hint="eastAsia" w:ascii="Times New Roman" w:cs="Times New Roman" w:hAnsiTheme="minorEastAsia"/>
          <w:b/>
          <w:sz w:val="24"/>
          <w:szCs w:val="24"/>
          <w:lang w:eastAsia="zh-CN" w:bidi="ar-SA"/>
        </w:rPr>
        <w:t xml:space="preserve">4.5 审核计划 </w:t>
      </w:r>
    </w:p>
    <w:p w14:paraId="38B0E620">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 xml:space="preserve">4.5.1 S&amp;P应依据审核方案制定每次现场审核的审核计划。审核计划至少包括：审核目的、审核准则、审核范围、现场审核的日期、时间安排和场所、审核组成员及审核任务安排。其中，审核员应注明审核员注册号，专业领域审核员和技术专家应标明专业代码，兼职审核员和在职技术专家应注明工作单位。 </w:t>
      </w:r>
    </w:p>
    <w:p w14:paraId="4D9DDAE7">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4.5.2 现场审核应安排在认证委托人的生产或服务处于正常运行时进行。</w:t>
      </w:r>
    </w:p>
    <w:p w14:paraId="66FB8E99">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4.5.3 现场审核开始前，应将审核计划提交给认证委托人并经其确认。如需要临时调整审核计划，应经双方协商一致后实施。</w:t>
      </w:r>
    </w:p>
    <w:p w14:paraId="60A841FD">
      <w:pPr>
        <w:pStyle w:val="3"/>
        <w:rPr>
          <w:lang w:eastAsia="zh-CN" w:bidi="ar-SA"/>
        </w:rPr>
      </w:pPr>
      <w:bookmarkStart w:id="11" w:name="_Toc227742097"/>
      <w:r>
        <w:rPr>
          <w:lang w:eastAsia="zh-CN" w:bidi="ar-SA"/>
        </w:rPr>
        <w:t>5.5</w:t>
      </w:r>
      <w:r>
        <w:rPr>
          <w:rFonts w:hint="eastAsia" w:hAnsiTheme="minorEastAsia"/>
          <w:lang w:eastAsia="zh-CN" w:bidi="ar-SA"/>
        </w:rPr>
        <w:t>实施审核</w:t>
      </w:r>
      <w:bookmarkEnd w:id="11"/>
    </w:p>
    <w:p w14:paraId="00CC315B">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5.1 认证审核应在认证委托人的现场实施，包括初次认证审核以及认证周期内的每年度的监督审核、再认证审核和特殊审核。</w:t>
      </w:r>
    </w:p>
    <w:p w14:paraId="6D3C5507">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5.2 审核组应按审核计划实施审核，并采用中文记录审核过程，可补充使用图片/音像作为记录。</w:t>
      </w:r>
    </w:p>
    <w:p w14:paraId="24511A44">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 xml:space="preserve">5.3 审核组应会同认证委托人召开首、末次会议，认证委托人的最高管理者、相关职能部门负责人应参加首、末次会议，S&amp;P应保留首、末次会议签到记录、图片/音像证明材料。认证委托人的最高管理者不能参加首末次会议的，应由获得书面授权的其他高级管理层成员参会，审核组应记录最高管理者缺席理由。 </w:t>
      </w:r>
    </w:p>
    <w:p w14:paraId="794A34CC">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5.4 审核组应通过面对面访谈等形式，对认证委托人的最高管理者在HSPM中发挥领导作用的情况进行重点审核，并保留现场图片/音像、审核记录等证明材料。最高管理者不熟悉组织自身的HSPM管理方针、目标，未亲自参与并推动HSPM实施的，认证审核应不予通过。</w:t>
      </w:r>
    </w:p>
    <w:p w14:paraId="1AEF5859">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5.5.5 发生下列情况的，审核组应向S&amp;P报告后终止审核：</w:t>
      </w:r>
    </w:p>
    <w:p w14:paraId="362BC7F3">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（1）认证委托人对审核活动不予配合，审核活动无法进行；</w:t>
      </w:r>
    </w:p>
    <w:p w14:paraId="30661CBC">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（2）认证委托人的最高管理者或经授权的高级管理层成员缺席首末次会议；</w:t>
      </w:r>
    </w:p>
    <w:p w14:paraId="3AF1F0C2">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（3）认证委托人实际情况与申请材料有重大不一致；</w:t>
      </w:r>
    </w:p>
    <w:p w14:paraId="06205340">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（4）其他导致审核程序无法完成的情况。</w:t>
      </w:r>
    </w:p>
    <w:p w14:paraId="732DBC47">
      <w:pPr>
        <w:pStyle w:val="3"/>
        <w:rPr>
          <w:lang w:eastAsia="zh-CN" w:bidi="ar-SA"/>
        </w:rPr>
      </w:pPr>
      <w:bookmarkStart w:id="12" w:name="_Toc227742098"/>
      <w:r>
        <w:rPr>
          <w:lang w:eastAsia="zh-CN" w:bidi="ar-SA"/>
        </w:rPr>
        <w:t>5.6</w:t>
      </w:r>
      <w:r>
        <w:rPr>
          <w:rFonts w:hint="eastAsia" w:hAnsiTheme="minorEastAsia"/>
          <w:lang w:eastAsia="zh-CN" w:bidi="ar-SA"/>
        </w:rPr>
        <w:t>初次认证审核</w:t>
      </w:r>
      <w:bookmarkEnd w:id="12"/>
    </w:p>
    <w:p w14:paraId="3A99F42E">
      <w:pPr>
        <w:widowControl w:val="0"/>
        <w:autoSpaceDE w:val="0"/>
        <w:autoSpaceDN w:val="0"/>
        <w:adjustRightInd w:val="0"/>
        <w:spacing w:beforeLines="50" w:after="0"/>
        <w:rPr>
          <w:rFonts w:ascii="Times New Roman" w:cs="Times New Roman" w:hAnsiTheme="minorEastAsia"/>
          <w:b/>
          <w:sz w:val="24"/>
          <w:szCs w:val="24"/>
          <w:lang w:eastAsia="zh-CN" w:bidi="ar-SA"/>
        </w:rPr>
      </w:pPr>
      <w:r>
        <w:rPr>
          <w:rFonts w:ascii="Times New Roman" w:cs="Times New Roman" w:hAnsiTheme="minorEastAsia"/>
          <w:b/>
          <w:sz w:val="24"/>
          <w:szCs w:val="24"/>
          <w:lang w:eastAsia="zh-CN" w:bidi="ar-SA"/>
        </w:rPr>
        <w:t>5.</w:t>
      </w:r>
      <w:r>
        <w:rPr>
          <w:rFonts w:hint="eastAsia" w:ascii="Times New Roman" w:cs="Times New Roman" w:hAnsiTheme="minorEastAsia"/>
          <w:b/>
          <w:sz w:val="24"/>
          <w:szCs w:val="24"/>
          <w:lang w:eastAsia="zh-CN" w:bidi="ar-SA"/>
        </w:rPr>
        <w:t>6.1 总则</w:t>
      </w:r>
    </w:p>
    <w:p w14:paraId="4FBB06C2">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初次认证审核应分为两个阶段实施：第一阶段审核和第二阶段审核。两个阶段审核时间间隔最短不应少于 5 日，最长不应超过 6 个月。如需要更长的时间间隔，应重新实施第一阶段审核。 </w:t>
      </w:r>
    </w:p>
    <w:p w14:paraId="12992F4D">
      <w:pPr>
        <w:widowControl w:val="0"/>
        <w:autoSpaceDE w:val="0"/>
        <w:autoSpaceDN w:val="0"/>
        <w:adjustRightInd w:val="0"/>
        <w:spacing w:beforeLines="50" w:after="0"/>
        <w:rPr>
          <w:rFonts w:ascii="Times New Roman" w:cs="Times New Roman" w:hAnsiTheme="minorEastAsia"/>
          <w:b/>
          <w:sz w:val="24"/>
          <w:szCs w:val="24"/>
          <w:lang w:eastAsia="zh-CN" w:bidi="ar-SA"/>
        </w:rPr>
      </w:pPr>
      <w:r>
        <w:rPr>
          <w:rFonts w:hint="eastAsia" w:ascii="Times New Roman" w:cs="Times New Roman" w:hAnsiTheme="minorEastAsia"/>
          <w:b/>
          <w:sz w:val="24"/>
          <w:szCs w:val="24"/>
          <w:lang w:eastAsia="zh-CN" w:bidi="ar-SA"/>
        </w:rPr>
        <w:t>5.6.2 第一阶段审核</w:t>
      </w:r>
    </w:p>
    <w:p w14:paraId="2C7D9F97">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5.6.2.1 第一阶段审核的目的是通过了解认证委托人的HSPM和其对第二阶段的准备情况，确定其是否具备接受第二阶段审核的条件并策划第二阶段审核的关注点。第一阶段审核的内容包括但不限于以下方面：</w:t>
      </w:r>
    </w:p>
    <w:p w14:paraId="531B32D8">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（1）了解认证委托人的情况，包括其活动、产品和服务、设施设备、工艺流程、现场运作以及适用的标准；</w:t>
      </w:r>
    </w:p>
    <w:p w14:paraId="061FF9B2">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（2）评审认证委托人体系文件，确认其与认证委托人业务活动及产品和服务相吻合；</w:t>
      </w:r>
    </w:p>
    <w:p w14:paraId="3F44CFC7">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（3）确认认证委托人申请信息和文件资料的真实性；</w:t>
      </w:r>
    </w:p>
    <w:p w14:paraId="0CFA53F2">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（4）审核认证委托人理解和实施QC080000及目标识别情况；</w:t>
      </w:r>
    </w:p>
    <w:p w14:paraId="70154EB9">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（5）确认认证委托人是否为第二阶段审核做好准备，已实施了内部审核和管理评审；</w:t>
      </w:r>
    </w:p>
    <w:p w14:paraId="7F85E786">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（6）确认认证委托人认证范围、体系覆盖范围内有效人数和场所；</w:t>
      </w:r>
    </w:p>
    <w:p w14:paraId="28CE4FBA">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（7）认证委托人的产品和服务符合相关法律法规及强制性标准的情况。</w:t>
      </w:r>
    </w:p>
    <w:p w14:paraId="5A5BEE41">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5.6.2.2 为达到第一阶段审核的目的和要求，除下列情况外，第一阶段审核应在认证委托人现场实施：</w:t>
      </w:r>
    </w:p>
    <w:p w14:paraId="7643E7AB">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（1）认证委托人已获S&amp;P颁发的其他领域的有效认证证书，S&amp;P已对认证委托人HSPM有充分了解；</w:t>
      </w:r>
    </w:p>
    <w:p w14:paraId="102BCAF7">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S&amp;P应记录未在现场进行第一阶段审核的理由。 </w:t>
      </w:r>
    </w:p>
    <w:p w14:paraId="174B7C62">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 xml:space="preserve">6.2.3 S&amp;P应将认证委托人是否具备第二阶段审核条件的结论书面告知认证委托人，包括所识别的需引起关注的、在第二阶段可能被判定为不符合的问题。 </w:t>
      </w:r>
    </w:p>
    <w:p w14:paraId="54E9E1C2">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 xml:space="preserve">6.2.4 S&amp;P通过第一阶段审核发现相关申请信息和文件资料存在虚假情况的，应终止认证活动。 </w:t>
      </w:r>
    </w:p>
    <w:p w14:paraId="06361C0F">
      <w:pPr>
        <w:widowControl w:val="0"/>
        <w:autoSpaceDE w:val="0"/>
        <w:autoSpaceDN w:val="0"/>
        <w:adjustRightInd w:val="0"/>
        <w:spacing w:beforeLines="50" w:after="0"/>
        <w:rPr>
          <w:rFonts w:ascii="Times New Roman" w:cs="Times New Roman" w:hAnsiTheme="minorEastAsia"/>
          <w:b/>
          <w:sz w:val="24"/>
          <w:szCs w:val="24"/>
          <w:lang w:eastAsia="zh-CN" w:bidi="ar-SA"/>
        </w:rPr>
      </w:pPr>
      <w:r>
        <w:rPr>
          <w:rFonts w:hint="eastAsia" w:ascii="Times New Roman" w:cs="Times New Roman" w:hAnsiTheme="minorEastAsia"/>
          <w:b/>
          <w:sz w:val="24"/>
          <w:szCs w:val="24"/>
          <w:lang w:eastAsia="zh-CN" w:bidi="ar-SA"/>
        </w:rPr>
        <w:t>5.6.3 第二阶段审核</w:t>
      </w:r>
    </w:p>
    <w:p w14:paraId="1CA72107">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6.3.1 第二阶段审核的目的是评价认证委托人HSPM实施情况，包括对QC080000标准要求的符合性和体系的有效性。</w:t>
      </w:r>
    </w:p>
    <w:p w14:paraId="00A80AF0">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6.3.2 第二阶段审核应在认证委托人的现场实施，至少覆盖以下内容：</w:t>
      </w:r>
    </w:p>
    <w:p w14:paraId="37A08DEE">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（1）认证委托人HSPM与QC080000标准的符合情况及证据；</w:t>
      </w:r>
    </w:p>
    <w:p w14:paraId="46959221">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（2）依据HSPM关键绩效、目标和指标，对绩效进行的监视、测量、报告和评审；</w:t>
      </w:r>
    </w:p>
    <w:p w14:paraId="780D3DAA">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（3）认证委托人实施HSPM的能力以及在符合适用法律法规要求方面的绩效；</w:t>
      </w:r>
    </w:p>
    <w:p w14:paraId="2A33D7EC">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（4）认证委托人管理过程的运作控制；</w:t>
      </w:r>
    </w:p>
    <w:p w14:paraId="66F0897D">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（5）认证委托人的内部审核和管理评审；</w:t>
      </w:r>
    </w:p>
    <w:p w14:paraId="534FE0C9">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（6）针对认证委托人管理体系方针的管理职责。</w:t>
      </w:r>
    </w:p>
    <w:p w14:paraId="09100E96">
      <w:pPr>
        <w:pStyle w:val="3"/>
        <w:rPr>
          <w:rFonts w:hAnsiTheme="minorEastAsia"/>
          <w:lang w:eastAsia="zh-CN" w:bidi="ar-SA"/>
        </w:rPr>
      </w:pPr>
      <w:bookmarkStart w:id="13" w:name="_Toc227742099"/>
      <w:r>
        <w:rPr>
          <w:rFonts w:hint="eastAsia" w:hAnsiTheme="minorEastAsia"/>
          <w:lang w:eastAsia="zh-CN" w:bidi="ar-SA"/>
        </w:rPr>
        <w:t>5.7监督审核</w:t>
      </w:r>
      <w:bookmarkEnd w:id="13"/>
    </w:p>
    <w:p w14:paraId="4C2128C0">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 xml:space="preserve">5.7.1 </w:t>
      </w:r>
      <w:r>
        <w:rPr>
          <w:rFonts w:hint="eastAsia" w:ascii="Times New Roman" w:cs="Times New Roman" w:hAnsiTheme="minorEastAsia"/>
          <w:sz w:val="24"/>
          <w:szCs w:val="24"/>
          <w:lang w:eastAsia="zh-CN" w:bidi="ar-SA"/>
        </w:rPr>
        <w:t xml:space="preserve">S&amp;P应对获证组织进行有效跟踪，依据审核方案对获证组织开展监督审核，并要求获证组织的最高管理者参与审核访谈以确认获证组织HSPM与QC080000标准的持续符合性和运行的有效性。 </w:t>
      </w:r>
    </w:p>
    <w:p w14:paraId="71EDBF67">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7.2 每次监督审核应尽可能覆盖认证范围内的典型产品/服务及有代表性的生产/服务过程，确保在认证证书有效期内的监督审核覆盖认证范围内的所有典型产品/服务、有代表性的生产/服务过程。</w:t>
      </w:r>
    </w:p>
    <w:p w14:paraId="3F8FA20B">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7.3 监督审核应重点关注获证组织的变更以及HSPM绩效的持续改进，监督审核的内容至少包括：</w:t>
      </w:r>
    </w:p>
    <w:p w14:paraId="14238D26">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（1）内部审核和管理评审；</w:t>
      </w:r>
    </w:p>
    <w:p w14:paraId="26FD86B0">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（2）对上次审核确定的不符合采取的纠正措施及效果；</w:t>
      </w:r>
    </w:p>
    <w:p w14:paraId="058D4C7B">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（3）HSPM在实现获证组织目标和HSPM预期结果方面的有效性；</w:t>
      </w:r>
    </w:p>
    <w:p w14:paraId="4824CAEA">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（4）为持续改进而策划的活动的进展；</w:t>
      </w:r>
    </w:p>
    <w:p w14:paraId="3930831E">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（5）持续的运作控制；</w:t>
      </w:r>
    </w:p>
    <w:p w14:paraId="5CA6B2E3">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（6）任何变更；</w:t>
      </w:r>
    </w:p>
    <w:p w14:paraId="46C34675">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（7）认证证书、认证标志的使用和（或）任何其他对认证信息的引用；</w:t>
      </w:r>
    </w:p>
    <w:p w14:paraId="288C3EBA">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（8）相关投诉的处理；</w:t>
      </w:r>
    </w:p>
    <w:p w14:paraId="23BDD42A">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（9）上次审核后发生的事故的调查与处理。</w:t>
      </w:r>
    </w:p>
    <w:p w14:paraId="28A6A7D0">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7.4 监督审核的时间应根据获证组织当前有效人数和风险类型确定，不少于依据附录2所确定的初次认证审核时间的1/3。</w:t>
      </w:r>
    </w:p>
    <w:p w14:paraId="08EF63FF">
      <w:pPr>
        <w:pStyle w:val="3"/>
        <w:rPr>
          <w:rFonts w:hAnsiTheme="minorEastAsia"/>
          <w:lang w:eastAsia="zh-CN" w:bidi="ar-SA"/>
        </w:rPr>
      </w:pPr>
      <w:bookmarkStart w:id="14" w:name="_Toc227742100"/>
      <w:r>
        <w:rPr>
          <w:rFonts w:hint="eastAsia" w:hAnsiTheme="minorEastAsia"/>
          <w:lang w:eastAsia="zh-CN" w:bidi="ar-SA"/>
        </w:rPr>
        <w:t>5.8再认证审核</w:t>
      </w:r>
      <w:bookmarkEnd w:id="14"/>
    </w:p>
    <w:p w14:paraId="22787B13">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8.1 认证证书期满前，获证组织申请继续持有认证证书的，S&amp;P应依据审核方案实施再认证审核，以判断获证组织的HSPM作为一个整体与QC080000持续符合性和运行的有效性。</w:t>
      </w:r>
    </w:p>
    <w:p w14:paraId="7BB0FA23">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8.2 再认证审核应在获证组织现场进行，并应在认证证书到期前完成。再认证审核的内容至少应包括：</w:t>
      </w:r>
    </w:p>
    <w:p w14:paraId="2B72CD44">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（1）结合其内部环境和外部环境的变化情况，确认获证组织HSPM有效性及认证范围的持续相关性和适宜性；</w:t>
      </w:r>
    </w:p>
    <w:p w14:paraId="11CF7E27">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（2）HSPM绩效持续改进的证实；</w:t>
      </w:r>
    </w:p>
    <w:p w14:paraId="642147A7">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（3）HSPM在实现获证组织目标和HSPM预期结果方面的有效性。 </w:t>
      </w:r>
    </w:p>
    <w:p w14:paraId="7064D333">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8.3 再认证审核策划时应考虑获证组织最近一个认证周期内的HSPM绩效，包括调阅以往的监督审核报告。</w:t>
      </w:r>
    </w:p>
    <w:p w14:paraId="29E3D326">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8.4 再认证审核的审核时间应按 5.4.2 的要求，根据获证组织当前有效人数和HSPM风险类型情况来确定，不少于依据附录2所确定的初次认证审核时间的 2/3。</w:t>
      </w:r>
    </w:p>
    <w:p w14:paraId="04CDEDB7">
      <w:pPr>
        <w:pStyle w:val="3"/>
        <w:rPr>
          <w:rFonts w:hAnsiTheme="minorEastAsia"/>
          <w:lang w:eastAsia="zh-CN" w:bidi="ar-SA"/>
        </w:rPr>
      </w:pPr>
      <w:bookmarkStart w:id="15" w:name="_Toc227742101"/>
      <w:r>
        <w:rPr>
          <w:rFonts w:hint="eastAsia" w:hAnsiTheme="minorEastAsia"/>
          <w:lang w:eastAsia="zh-CN" w:bidi="ar-SA"/>
        </w:rPr>
        <w:t>5.9特殊审核</w:t>
      </w:r>
      <w:bookmarkEnd w:id="15"/>
    </w:p>
    <w:p w14:paraId="4537457C">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5.9.1 扩大认证范围</w:t>
      </w:r>
    </w:p>
    <w:p w14:paraId="42FF6314">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对于已授予的认证，S&amp;P应对扩大认证范围的申请进行评审，并确定任何必要的审核活动，以做出是否可予扩大的决定。这类审核活动可以结合监督审核同时进行。</w:t>
      </w:r>
    </w:p>
    <w:p w14:paraId="5238EAC3">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5.9.2 提前较短时间通知的审核</w:t>
      </w:r>
    </w:p>
    <w:p w14:paraId="34E87B4A">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为调查投诉、事故，对变更做出回应或对被暂停的客户进行追踪，可能需要在提前较短时间或不通知获证组织的情况下进行审核，此时：</w:t>
      </w:r>
    </w:p>
    <w:p w14:paraId="6440B0C7">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（1）S&amp;P应说明并使获证组织提前了解将在何种条件下进行此类审核；</w:t>
      </w:r>
    </w:p>
    <w:p w14:paraId="57FCD01D">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（2）由于获证组织缺乏对审核组成员的任命表示反对的机会，S&amp;P应在指派审核组时给予更多的关注。 </w:t>
      </w:r>
    </w:p>
    <w:p w14:paraId="68248FA1">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9.3 获证组织认证范围内的产品在产品国家监督抽查中被查出不合格时，自市场监管部门发出通报起 30日内，S&amp;P应对该组织实施提前较短时间通知的审核。</w:t>
      </w:r>
    </w:p>
    <w:p w14:paraId="63F71514">
      <w:pPr>
        <w:pStyle w:val="3"/>
        <w:rPr>
          <w:rFonts w:hAnsiTheme="minorEastAsia"/>
          <w:lang w:eastAsia="zh-CN" w:bidi="ar-SA"/>
        </w:rPr>
      </w:pPr>
      <w:bookmarkStart w:id="16" w:name="_Toc227742102"/>
      <w:r>
        <w:rPr>
          <w:rFonts w:hint="eastAsia" w:hAnsiTheme="minorEastAsia"/>
          <w:lang w:eastAsia="zh-CN" w:bidi="ar-SA"/>
        </w:rPr>
        <w:t>5.10不符合项及其验证</w:t>
      </w:r>
      <w:bookmarkEnd w:id="16"/>
    </w:p>
    <w:p w14:paraId="3767517E">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 xml:space="preserve">10.1 对审核中发现的不符合，S&amp;P应要求认证委托人在规定的时限内进行原因分析，采取相应的纠正措施。 </w:t>
      </w:r>
    </w:p>
    <w:p w14:paraId="25AD1FDE">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10.2 S&amp;P应对认证委托人所采取的纠正措施的有效性进行验证。认证委托人可以针对轻微不符合制定纠正措施计划，由S&amp;P在下次审核时验证。</w:t>
      </w:r>
    </w:p>
    <w:p w14:paraId="0556A871">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5.10.3 严重不符合的验证时限应满足以下要求：</w:t>
      </w:r>
    </w:p>
    <w:p w14:paraId="3D5CB8F2">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（1）初次认证：在第二阶段审核结束之日起 6个月内完成；</w:t>
      </w:r>
    </w:p>
    <w:p w14:paraId="3FCE9F53">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（2）监督审核：在审核结束之日起 3个月内完成；</w:t>
      </w:r>
    </w:p>
    <w:p w14:paraId="6CBFEC55">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（3）再认证：在原认证证书到期前完成。 </w:t>
      </w:r>
    </w:p>
    <w:p w14:paraId="6298F930">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10.4 对于认证委托人未能在规定的时限内完成对不符合所采取措施的情况，S&amp;P不应作出授予认证、保持认证或更新认证的决定。</w:t>
      </w:r>
    </w:p>
    <w:p w14:paraId="1F24D8BF">
      <w:pPr>
        <w:pStyle w:val="3"/>
        <w:rPr>
          <w:rFonts w:hAnsiTheme="minorEastAsia"/>
          <w:lang w:eastAsia="zh-CN" w:bidi="ar-SA"/>
        </w:rPr>
      </w:pPr>
      <w:bookmarkStart w:id="17" w:name="_Toc227742103"/>
      <w:r>
        <w:rPr>
          <w:rFonts w:hint="eastAsia" w:hAnsiTheme="minorEastAsia"/>
          <w:lang w:eastAsia="zh-CN" w:bidi="ar-SA"/>
        </w:rPr>
        <w:t>5.11审核报告</w:t>
      </w:r>
      <w:bookmarkEnd w:id="17"/>
    </w:p>
    <w:p w14:paraId="2EE16507">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 xml:space="preserve">11.1 S&amp;P应就每次审核向认证委托人提供书面的审核报告。审核组长应对审核报告的内容负责。 </w:t>
      </w:r>
    </w:p>
    <w:p w14:paraId="0B2A508A">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11.2 审核报告的内容应准确、简明和清晰，反映认证委托人HSPM的真实状况，描述对照QC080000标准的符合性和有效性的客观证据信息，及对认证结论的推荐意见。</w:t>
      </w:r>
    </w:p>
    <w:p w14:paraId="3044FE43">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5.11.3 审核报告至少应包括或引用以下内容：</w:t>
      </w:r>
    </w:p>
    <w:p w14:paraId="18EC4AB7">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（1）认证机构名称；</w:t>
      </w:r>
    </w:p>
    <w:p w14:paraId="4A4C65E1">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（2）认证委托人的名称和地址及其代表；</w:t>
      </w:r>
    </w:p>
    <w:p w14:paraId="2820A276">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（3）审核类型（如，初次认证、监督、再认证或其他类型）；</w:t>
      </w:r>
    </w:p>
    <w:p w14:paraId="30F89197">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（4）结合、联合或一体化审核情况（适用时）；</w:t>
      </w:r>
    </w:p>
    <w:p w14:paraId="11A20C93">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（5）审核准则；</w:t>
      </w:r>
    </w:p>
    <w:p w14:paraId="4F665B5F">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（6）审核目的及其是否达到的确认；</w:t>
      </w:r>
    </w:p>
    <w:p w14:paraId="279F6CAD">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（7）审核范围，特别是标识出所审核的组织、职能单元\过程，以及审核时间；</w:t>
      </w:r>
    </w:p>
    <w:p w14:paraId="35F0B30D">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（8）任何偏离审核计划的情况及其理由；</w:t>
      </w:r>
    </w:p>
    <w:p w14:paraId="1BAABB94">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（9）任何影响审核方案的重要事项；</w:t>
      </w:r>
    </w:p>
    <w:p w14:paraId="0489713E">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（10）审核组成员姓名、身份及任何与审核组同行的人员；</w:t>
      </w:r>
    </w:p>
    <w:p w14:paraId="0A0BEBF6">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（11）审核活动（现场或非现场，永久或临时场所）的实施日期和地点；</w:t>
      </w:r>
    </w:p>
    <w:p w14:paraId="003CC209">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12）应描述与审核类型要求一致的审核发现、审核证据（或审核证据的引用）以及审核结论，重点反映认证委托人主要产品和服务提供过程与控制情况、内部审核和管理评审的过程、所取得的绩效，认证委托人实际情况与其预期目标之间存在的差距和改进机会；</w:t>
      </w:r>
    </w:p>
    <w:p w14:paraId="175F0559">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（13）行政监管部门抽查的不合格情况，及相关原因分析和整改措施的有效性（适用时）；</w:t>
      </w:r>
    </w:p>
    <w:p w14:paraId="356BBD49">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（14）上次审核后发生的影响认证委托人HSPM的重要变更（适用时）；</w:t>
      </w:r>
    </w:p>
    <w:p w14:paraId="5CE54D7C">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（15）获证组织对认证证书和认证标志使用的控制情况（适用时）；</w:t>
      </w:r>
    </w:p>
    <w:p w14:paraId="389E44CA">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（16）对以前不符合采取的纠正措施有效性的验证情况（适用时）；</w:t>
      </w:r>
    </w:p>
    <w:p w14:paraId="211D2F0D">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（17）已识别出的任何未解决的问题；</w:t>
      </w:r>
    </w:p>
    <w:p w14:paraId="101974AF">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（18）说明审核基于对可获得信息的抽样过程的免责声明；</w:t>
      </w:r>
    </w:p>
    <w:p w14:paraId="0A73C37F">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（19）审核组的推荐意见以及对申请的认证范围适宜性的结论。 </w:t>
      </w:r>
    </w:p>
    <w:p w14:paraId="7E4F9E30">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 xml:space="preserve">11.4 认证机构应保留用于证实审核报告中相关信息的审核证据。 </w:t>
      </w:r>
    </w:p>
    <w:p w14:paraId="5B8CE7E2">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11.5 对终止审核的项目，审核组应将终止审核的原因以及已开展的工作情况形成报告，S&amp;P应将此报告提交给认证委托人。</w:t>
      </w:r>
    </w:p>
    <w:p w14:paraId="129CC902">
      <w:pPr>
        <w:pStyle w:val="3"/>
        <w:rPr>
          <w:rFonts w:hAnsiTheme="minorEastAsia"/>
          <w:lang w:eastAsia="zh-CN" w:bidi="ar-SA"/>
        </w:rPr>
      </w:pPr>
      <w:bookmarkStart w:id="18" w:name="_Toc227742104"/>
      <w:r>
        <w:rPr>
          <w:rFonts w:hint="eastAsia" w:hAnsiTheme="minorEastAsia"/>
          <w:lang w:eastAsia="zh-CN" w:bidi="ar-SA"/>
        </w:rPr>
        <w:t>5.12认证决定</w:t>
      </w:r>
      <w:bookmarkEnd w:id="18"/>
    </w:p>
    <w:p w14:paraId="4E1725AB">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 xml:space="preserve">12.1 S&amp;P应在对审核报告、不符合的纠正措施及验证情况和其他信息进行复核、综合评价的基础上，做出认证决定。认证决定人员应为S&amp;P的专职认证人员，并不得为审核组成员，能力应满足关于S&amp;P的相关要求。认证决定过程不得外包，认证决定须由中华人民共和国境内的工作人员做出。 </w:t>
      </w:r>
    </w:p>
    <w:p w14:paraId="4FB417D9">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12.2 S&amp;P应有充分的证据确认认证委托人满足下列条件的，做出授予、更新、扩大认证范围的决定：</w:t>
      </w:r>
    </w:p>
    <w:p w14:paraId="17C33812">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（1）5.1.2中的条件；</w:t>
      </w:r>
    </w:p>
    <w:p w14:paraId="56C86DCA">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（2）对于严重不符合，已评审、接受并验证了纠正措施的有效性；对于轻微不符合，已评审、接受了认证委托人的纠正措施或计划采取的纠正措施；</w:t>
      </w:r>
    </w:p>
    <w:p w14:paraId="2AD6E643">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（3）认证委托人的HSPM符合QC080000标准要求且运行有效；</w:t>
      </w:r>
    </w:p>
    <w:p w14:paraId="4BAF4D2D">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（4）认证委托人按照认证合同规定履行了相关义务。 </w:t>
      </w:r>
    </w:p>
    <w:p w14:paraId="542AFD38">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 xml:space="preserve">12.3 初次认证审核的认证决定应在现场审核后 6个月内完成。否则应在推荐认证注册前再实施一次第二阶段审核。 </w:t>
      </w:r>
    </w:p>
    <w:p w14:paraId="50DB7347">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12.4 再认证审核的认证决定宜在上一认证周期认证证书到期前完成，最迟应在证书到期之日起 6个月内完成。如果在当前认证证书终止日期前，S&amp;P未能完成再认证审核或对严重不符合实施的纠正和纠正措施未能进行验证，则不应予以再认证，也不应延长原认证证书的有效期。</w:t>
      </w:r>
    </w:p>
    <w:p w14:paraId="1DE3C308">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 xml:space="preserve">12.5 认证委托人不能满足 5.12.2 要求的，S&amp;P应以书面形式告知其未通过认证的原因。 </w:t>
      </w:r>
    </w:p>
    <w:p w14:paraId="50C866F7">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12.6 对于监督审核，在满足下列条件时，可根据审核组长的肯定性结论保持对获证组织的认证，无需再进行独立的认证决定：</w:t>
      </w:r>
    </w:p>
    <w:p w14:paraId="426E856C">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（1）监督审核未发现严重不符合及其他可能导致认证证书暂停撤销的情况；</w:t>
      </w:r>
    </w:p>
    <w:p w14:paraId="29256753">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（2）获证组织认证信息未发生变更，不存在扩大、缩小认证范围的情况；</w:t>
      </w:r>
    </w:p>
    <w:p w14:paraId="37702D8E">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（3）S&amp;P建立了监督审核的监视机制并予以实施，可确保监督审核活动的有效性。</w:t>
      </w:r>
    </w:p>
    <w:p w14:paraId="4B4CA3B1">
      <w:pPr>
        <w:pStyle w:val="2"/>
        <w:rPr>
          <w:rFonts w:hAnsi="Times New Roman"/>
          <w:lang w:eastAsia="zh-CN" w:bidi="ar-SA"/>
        </w:rPr>
      </w:pPr>
      <w:bookmarkStart w:id="19" w:name="_Toc227742105"/>
      <w:r>
        <w:rPr>
          <w:rFonts w:hAnsi="Times New Roman"/>
          <w:lang w:eastAsia="zh-CN" w:bidi="ar-SA"/>
        </w:rPr>
        <w:t xml:space="preserve">6 </w:t>
      </w:r>
      <w:r>
        <w:rPr>
          <w:lang w:eastAsia="zh-CN" w:bidi="ar-SA"/>
        </w:rPr>
        <w:t>认证</w:t>
      </w:r>
      <w:r>
        <w:rPr>
          <w:rFonts w:hint="eastAsia"/>
          <w:lang w:eastAsia="zh-CN" w:bidi="ar-SA"/>
        </w:rPr>
        <w:t>证书和认证标志</w:t>
      </w:r>
      <w:bookmarkEnd w:id="19"/>
    </w:p>
    <w:p w14:paraId="087795F7">
      <w:pPr>
        <w:widowControl w:val="0"/>
        <w:autoSpaceDE w:val="0"/>
        <w:autoSpaceDN w:val="0"/>
        <w:adjustRightInd w:val="0"/>
        <w:spacing w:beforeLines="50" w:after="0"/>
        <w:rPr>
          <w:rFonts w:ascii="Times New Roman" w:cs="Times New Roman" w:hAnsiTheme="minorEastAsia"/>
          <w:b/>
          <w:sz w:val="24"/>
          <w:szCs w:val="24"/>
          <w:lang w:eastAsia="zh-CN" w:bidi="ar-SA"/>
        </w:rPr>
      </w:pPr>
      <w:r>
        <w:rPr>
          <w:rFonts w:hint="eastAsia" w:ascii="Times New Roman" w:cs="Times New Roman" w:hAnsiTheme="minorEastAsia"/>
          <w:b/>
          <w:sz w:val="24"/>
          <w:szCs w:val="24"/>
          <w:lang w:eastAsia="zh-CN" w:bidi="ar-SA"/>
        </w:rPr>
        <w:t xml:space="preserve">6.1 总则 </w:t>
      </w:r>
    </w:p>
    <w:p w14:paraId="7D440575">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6.</w:t>
      </w:r>
      <w:r>
        <w:rPr>
          <w:rFonts w:hint="eastAsia" w:ascii="Times New Roman" w:cs="Times New Roman" w:hAnsiTheme="minorEastAsia"/>
          <w:sz w:val="24"/>
          <w:szCs w:val="24"/>
          <w:lang w:eastAsia="zh-CN" w:bidi="ar-SA"/>
        </w:rPr>
        <w:t>1.1 S&amp;P制定《管理体系认证证书和认证标志、认可标识使用规则》，要求获证组织正确使用认证证书和认证标志，以满足《认证证书和认证标志管理办法》相关规定。</w:t>
      </w:r>
    </w:p>
    <w:p w14:paraId="730A006B">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6.</w:t>
      </w:r>
      <w:r>
        <w:rPr>
          <w:rFonts w:hint="eastAsia" w:ascii="Times New Roman" w:cs="Times New Roman" w:hAnsiTheme="minorEastAsia"/>
          <w:sz w:val="24"/>
          <w:szCs w:val="24"/>
          <w:lang w:eastAsia="zh-CN" w:bidi="ar-SA"/>
        </w:rPr>
        <w:t xml:space="preserve">1.2 获证组织可以在认证证书有效时使用HSPM认证证书和认证标志，并接受S&amp;P的监督管理。认证证书处于暂停期间、被撤销或注销后不得继续使用认证证书和认证标志。 </w:t>
      </w:r>
    </w:p>
    <w:p w14:paraId="518E8CA6">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6.</w:t>
      </w:r>
      <w:r>
        <w:rPr>
          <w:rFonts w:hint="eastAsia" w:ascii="Times New Roman" w:cs="Times New Roman" w:hAnsiTheme="minorEastAsia"/>
          <w:sz w:val="24"/>
          <w:szCs w:val="24"/>
          <w:lang w:eastAsia="zh-CN" w:bidi="ar-SA"/>
        </w:rPr>
        <w:t xml:space="preserve">1.3 获证组织应当在广告等有关宣传中正确使用认证标志，不得在产品上仅标注有HSPM认证标志，只有在注明获证组织通过HSPM认证及认证机构名称的情况下，方可在产品包装上标注HSPM认证标志。 </w:t>
      </w:r>
    </w:p>
    <w:p w14:paraId="23B8D8BC">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6.</w:t>
      </w:r>
      <w:r>
        <w:rPr>
          <w:rFonts w:hint="eastAsia" w:ascii="Times New Roman" w:cs="Times New Roman" w:hAnsiTheme="minorEastAsia"/>
          <w:sz w:val="24"/>
          <w:szCs w:val="24"/>
          <w:lang w:eastAsia="zh-CN" w:bidi="ar-SA"/>
        </w:rPr>
        <w:t xml:space="preserve">1.4 S&amp;P发现获证组织未正确使用认证证书和认证标志的，应当要求获证组织立即采取有效纠正措施，并跟踪监督纠正情况。 </w:t>
      </w:r>
    </w:p>
    <w:p w14:paraId="40960CC6">
      <w:pPr>
        <w:widowControl w:val="0"/>
        <w:autoSpaceDE w:val="0"/>
        <w:autoSpaceDN w:val="0"/>
        <w:adjustRightInd w:val="0"/>
        <w:spacing w:beforeLines="50" w:after="0"/>
        <w:rPr>
          <w:rFonts w:ascii="Times New Roman" w:cs="Times New Roman" w:hAnsiTheme="minorEastAsia"/>
          <w:b/>
          <w:sz w:val="24"/>
          <w:szCs w:val="24"/>
          <w:lang w:eastAsia="zh-CN" w:bidi="ar-SA"/>
        </w:rPr>
      </w:pPr>
      <w:r>
        <w:rPr>
          <w:rFonts w:hint="eastAsia" w:ascii="Times New Roman" w:cs="Times New Roman" w:hAnsiTheme="minorEastAsia"/>
          <w:b/>
          <w:sz w:val="24"/>
          <w:szCs w:val="24"/>
          <w:lang w:eastAsia="zh-CN" w:bidi="ar-SA"/>
        </w:rPr>
        <w:t xml:space="preserve">6.2 认证证书 </w:t>
      </w:r>
    </w:p>
    <w:p w14:paraId="0894ABF2">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6.</w:t>
      </w:r>
      <w:r>
        <w:rPr>
          <w:rFonts w:hint="eastAsia" w:ascii="Times New Roman" w:cs="Times New Roman" w:hAnsiTheme="minorEastAsia"/>
          <w:sz w:val="24"/>
          <w:szCs w:val="24"/>
          <w:lang w:eastAsia="zh-CN" w:bidi="ar-SA"/>
        </w:rPr>
        <w:t>2.1 S&amp;P应及时向认证决定符合要求的组织出具认证证书，认证证书的有效期最长为3年。</w:t>
      </w:r>
    </w:p>
    <w:p w14:paraId="4B6BE29A">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6.</w:t>
      </w:r>
      <w:r>
        <w:rPr>
          <w:rFonts w:hint="eastAsia" w:ascii="Times New Roman" w:cs="Times New Roman" w:hAnsiTheme="minorEastAsia"/>
          <w:sz w:val="24"/>
          <w:szCs w:val="24"/>
          <w:lang w:eastAsia="zh-CN" w:bidi="ar-SA"/>
        </w:rPr>
        <w:t xml:space="preserve">2.2 认证证书有效期的起算日期为认证证书签发日期，认证证书的签发日期不应早于做出认证决定的日期。 </w:t>
      </w:r>
    </w:p>
    <w:p w14:paraId="7076B69F">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6.</w:t>
      </w:r>
      <w:r>
        <w:rPr>
          <w:rFonts w:hint="eastAsia" w:ascii="Times New Roman" w:cs="Times New Roman" w:hAnsiTheme="minorEastAsia"/>
          <w:sz w:val="24"/>
          <w:szCs w:val="24"/>
          <w:lang w:eastAsia="zh-CN" w:bidi="ar-SA"/>
        </w:rPr>
        <w:t>2.3 对于未能在原认证证书到期前完成再认证决定的，获证组织的HSPM认证证书到期后自动失效，直至获得新签发的再认证证书，新签发的再认证证书的终止日期不超过上一认证周期终止日期再加 3年。</w:t>
      </w:r>
    </w:p>
    <w:p w14:paraId="5EEB82D1">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6.2.4 对每张HSPM认证证书赋予一个认证证书编号，认证证书编号应遵循一定的规律，具体详见附录3。 </w:t>
      </w:r>
    </w:p>
    <w:p w14:paraId="59868A1D">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6.</w:t>
      </w:r>
      <w:r>
        <w:rPr>
          <w:rFonts w:hint="eastAsia" w:ascii="Times New Roman" w:cs="Times New Roman" w:hAnsiTheme="minorEastAsia"/>
          <w:sz w:val="24"/>
          <w:szCs w:val="24"/>
          <w:lang w:eastAsia="zh-CN" w:bidi="ar-SA"/>
        </w:rPr>
        <w:t xml:space="preserve">2.5 认证证书在中华人民共和国境内使用的，认证证书应使用中文。 </w:t>
      </w:r>
    </w:p>
    <w:p w14:paraId="0F828BD5">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6.</w:t>
      </w:r>
      <w:r>
        <w:rPr>
          <w:rFonts w:hint="eastAsia" w:ascii="Times New Roman" w:cs="Times New Roman" w:hAnsiTheme="minorEastAsia"/>
          <w:sz w:val="24"/>
          <w:szCs w:val="24"/>
          <w:lang w:eastAsia="zh-CN" w:bidi="ar-SA"/>
        </w:rPr>
        <w:t>2.6 认证证书的信息应真实、准确，不产生误导，并至少包含以下内容：</w:t>
      </w:r>
    </w:p>
    <w:p w14:paraId="4B2B9C97">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（1）获证组织名称、统一社会信用代码、注册地址、认证范围所覆盖的经营地址。若覆盖多场所，应表述认证所覆盖的所有场所的地址信息；</w:t>
      </w:r>
    </w:p>
    <w:p w14:paraId="719026C1">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注：认证证书中可不包括临时场所，当在认证证书上展示临时场所时，应注明这些场所为临时场所。</w:t>
      </w:r>
    </w:p>
    <w:p w14:paraId="2DA885AC">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（2）获证组织HSPM所覆盖的产品、活动、服务的范围；包括每个场所相应的认证范围，且没有误导或歧义（适用时）；</w:t>
      </w:r>
    </w:p>
    <w:p w14:paraId="062E23F4">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（3）认证依据的认证标准</w:t>
      </w:r>
      <w:r>
        <w:rPr>
          <w:rFonts w:hint="eastAsia" w:ascii="Times New Roman" w:hAnsi="Times New Roman" w:cs="Times New Roman"/>
          <w:spacing w:val="-3"/>
          <w:sz w:val="24"/>
          <w:szCs w:val="24"/>
          <w:lang w:eastAsia="zh-CN"/>
        </w:rPr>
        <w:t>QC080000</w:t>
      </w:r>
      <w:r>
        <w:rPr>
          <w:rFonts w:ascii="Times New Roman" w:cs="Times New Roman" w:hAnsiTheme="minorEastAsia"/>
          <w:spacing w:val="5"/>
          <w:sz w:val="24"/>
          <w:szCs w:val="24"/>
          <w:lang w:eastAsia="zh-CN"/>
        </w:rPr>
        <w:t>所采用的当时有效版本的完整标准号；</w:t>
      </w:r>
    </w:p>
    <w:p w14:paraId="3CAEAE92">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（4）认证证书签发日期和有效截止日期，认证证书应注明：获证组织必须定期接受监督审核并经审核合格此证书方继续有效的提示信息；</w:t>
      </w:r>
    </w:p>
    <w:p w14:paraId="5BE3731B">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（5）认证证书编号（或唯一的识别代码）；</w:t>
      </w:r>
    </w:p>
    <w:p w14:paraId="57B85C52">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（6）认证机构名称、地址；</w:t>
      </w:r>
    </w:p>
    <w:p w14:paraId="446826EE">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（7）认证标志、相关的认可标识及认可注册号（适用时）；</w:t>
      </w:r>
    </w:p>
    <w:p w14:paraId="6C19F06A">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（8）认证证书信息及认证证书状态的查询途径。 </w:t>
      </w:r>
    </w:p>
    <w:p w14:paraId="63479D5D">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6.3 认证标志</w:t>
      </w:r>
    </w:p>
    <w:p w14:paraId="2C347081">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S&amp;P自行制定的认证标志的式样、文字和名称，不得违反法律、行政法规的规定，不得与国家统一的自愿性认证标志或其他认证机构自行制定并公布的认证标志相同或者近似，不得妨碍社会管理，不得有损社会道德风尚。 </w:t>
      </w:r>
    </w:p>
    <w:p w14:paraId="34BD1689">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S&amp;P认证标志如图 1</w:t>
      </w:r>
    </w:p>
    <w:p w14:paraId="468A6A8B">
      <w:pPr>
        <w:widowControl w:val="0"/>
        <w:autoSpaceDE w:val="0"/>
        <w:autoSpaceDN w:val="0"/>
        <w:adjustRightInd w:val="0"/>
        <w:spacing w:beforeLines="50" w:after="0"/>
        <w:ind w:firstLine="480" w:firstLineChars="200"/>
        <w:jc w:val="center"/>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drawing>
          <wp:inline distT="0" distB="0" distL="0" distR="0">
            <wp:extent cx="1787525" cy="1259205"/>
            <wp:effectExtent l="19050" t="0" r="2896" b="0"/>
            <wp:docPr id="2" name="图片 3" descr="F:\01 各认证机构资料\06 标普认证\证书\胡国明发来样板\S&amp;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F:\01 各认证机构资料\06 标普认证\证书\胡国明发来样板\S&amp;P.jpg"/>
                    <pic:cNvPicPr>
                      <a:picLocks noChangeAspect="1" noChangeArrowheads="1"/>
                    </pic:cNvPicPr>
                  </pic:nvPicPr>
                  <pic:blipFill>
                    <a:blip r:embed="rId8"/>
                    <a:srcRect/>
                    <a:stretch>
                      <a:fillRect/>
                    </a:stretch>
                  </pic:blipFill>
                  <pic:spPr>
                    <a:xfrm>
                      <a:off x="0" y="0"/>
                      <a:ext cx="1797239" cy="1266184"/>
                    </a:xfrm>
                    <a:prstGeom prst="rect">
                      <a:avLst/>
                    </a:prstGeom>
                    <a:noFill/>
                    <a:ln w="9525">
                      <a:noFill/>
                      <a:miter lim="800000"/>
                      <a:headEnd/>
                      <a:tailEnd/>
                    </a:ln>
                  </pic:spPr>
                </pic:pic>
              </a:graphicData>
            </a:graphic>
          </wp:inline>
        </w:drawing>
      </w:r>
    </w:p>
    <w:p w14:paraId="78D16EB8">
      <w:pPr>
        <w:widowControl w:val="0"/>
        <w:autoSpaceDE w:val="0"/>
        <w:autoSpaceDN w:val="0"/>
        <w:adjustRightInd w:val="0"/>
        <w:spacing w:beforeLines="50" w:after="0"/>
        <w:ind w:firstLine="480" w:firstLineChars="200"/>
        <w:jc w:val="center"/>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图 1</w:t>
      </w:r>
    </w:p>
    <w:p w14:paraId="49D3D57E">
      <w:pPr>
        <w:pStyle w:val="2"/>
        <w:rPr>
          <w:rFonts w:hAnsi="Times New Roman"/>
          <w:lang w:eastAsia="zh-CN" w:bidi="ar-SA"/>
        </w:rPr>
      </w:pPr>
      <w:bookmarkStart w:id="20" w:name="_Toc227742106"/>
      <w:r>
        <w:rPr>
          <w:rFonts w:hAnsi="Times New Roman"/>
          <w:lang w:eastAsia="zh-CN" w:bidi="ar-SA"/>
        </w:rPr>
        <w:t xml:space="preserve">7 </w:t>
      </w:r>
      <w:r>
        <w:rPr>
          <w:rFonts w:hint="eastAsia"/>
          <w:lang w:eastAsia="zh-CN" w:bidi="ar-SA"/>
        </w:rPr>
        <w:t>认证证书的暂停、撤销和注销</w:t>
      </w:r>
      <w:bookmarkEnd w:id="20"/>
    </w:p>
    <w:p w14:paraId="047742DE">
      <w:pPr>
        <w:widowControl w:val="0"/>
        <w:autoSpaceDE w:val="0"/>
        <w:autoSpaceDN w:val="0"/>
        <w:adjustRightInd w:val="0"/>
        <w:spacing w:beforeLines="50" w:after="0"/>
        <w:rPr>
          <w:rFonts w:ascii="Times New Roman" w:cs="Times New Roman" w:hAnsiTheme="minorEastAsia"/>
          <w:b/>
          <w:sz w:val="24"/>
          <w:szCs w:val="24"/>
          <w:lang w:eastAsia="zh-CN" w:bidi="ar-SA"/>
        </w:rPr>
      </w:pPr>
      <w:r>
        <w:rPr>
          <w:rFonts w:hint="eastAsia" w:ascii="Times New Roman" w:cs="Times New Roman" w:hAnsiTheme="minorEastAsia"/>
          <w:b/>
          <w:sz w:val="24"/>
          <w:szCs w:val="24"/>
          <w:lang w:eastAsia="zh-CN" w:bidi="ar-SA"/>
        </w:rPr>
        <w:t>7.1 总则</w:t>
      </w:r>
    </w:p>
    <w:p w14:paraId="261F3C9D">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S&amp;P建立并实施《对授予、保持、扩大、更新、缩小、暂停/恢复及撤销认证条件的规定》，不得随意暂停、撤销和注销认证证书。 </w:t>
      </w:r>
    </w:p>
    <w:p w14:paraId="39761F8B">
      <w:pPr>
        <w:widowControl w:val="0"/>
        <w:autoSpaceDE w:val="0"/>
        <w:autoSpaceDN w:val="0"/>
        <w:adjustRightInd w:val="0"/>
        <w:spacing w:beforeLines="50" w:after="0"/>
        <w:rPr>
          <w:rFonts w:ascii="Times New Roman" w:cs="Times New Roman" w:hAnsiTheme="minorEastAsia"/>
          <w:b/>
          <w:sz w:val="24"/>
          <w:szCs w:val="24"/>
          <w:lang w:eastAsia="zh-CN" w:bidi="ar-SA"/>
        </w:rPr>
      </w:pPr>
      <w:r>
        <w:rPr>
          <w:rFonts w:hint="eastAsia" w:ascii="Times New Roman" w:cs="Times New Roman" w:hAnsiTheme="minorEastAsia"/>
          <w:b/>
          <w:sz w:val="24"/>
          <w:szCs w:val="24"/>
          <w:lang w:eastAsia="zh-CN" w:bidi="ar-SA"/>
        </w:rPr>
        <w:t xml:space="preserve">7.2 认证证书的暂停 </w:t>
      </w:r>
    </w:p>
    <w:p w14:paraId="1E2677EE">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7.2.1 获证组织有以下情形之一的，S&amp;P应在调查核实后5日内暂停其认证证书，并保留相应证据：</w:t>
      </w:r>
    </w:p>
    <w:p w14:paraId="35BC277B">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（1）HSPM持续或严重不满足认证要求的，包括HSPM文件与实际业务运作严重脱离；</w:t>
      </w:r>
    </w:p>
    <w:p w14:paraId="788604FA">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（2）不满足HSPM适用的法律法规要求，且未采取有效纠正措施的；</w:t>
      </w:r>
    </w:p>
    <w:p w14:paraId="05909C4E">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（3）受到与HSPM相关的行政处罚，且尚未完成整改的；</w:t>
      </w:r>
    </w:p>
    <w:p w14:paraId="047BC486">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（4）发生重大质量、环境、安全等事故，反映获证组织HSPM运行存在重大缺陷的；</w:t>
      </w:r>
    </w:p>
    <w:p w14:paraId="68CAFAA4">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（5）拒绝配合市场监管部门的认证执法监督检查，或者提供虚假材料或信息的；</w:t>
      </w:r>
    </w:p>
    <w:p w14:paraId="362F32C7">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（6）持有的与HSPM范围有关的行政许可文件、资质证书、强制性认证证书等过期失效的；</w:t>
      </w:r>
    </w:p>
    <w:p w14:paraId="63F92147">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（7）不能按照规定的时间间隔接受监督审核的；</w:t>
      </w:r>
    </w:p>
    <w:p w14:paraId="3A1A237D">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（8）未按相关规定正确引用和宣传获得的认证证书和有关信息，包括认证证书和认证标志的使用；</w:t>
      </w:r>
    </w:p>
    <w:p w14:paraId="5E288EA2">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（9）不承担、履行认证合同约定的责任和义务的；</w:t>
      </w:r>
    </w:p>
    <w:p w14:paraId="6212A37A">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（10）被有关行政监管部门责令停业整顿的；</w:t>
      </w:r>
    </w:p>
    <w:p w14:paraId="49D195F9">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（11）发生与质量环境安全等相关重大舆情的；</w:t>
      </w:r>
    </w:p>
    <w:p w14:paraId="48D610DA">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（12）主动请求暂停的；</w:t>
      </w:r>
    </w:p>
    <w:p w14:paraId="1DD3FDE7">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（13）其他应暂停认证证书的。 </w:t>
      </w:r>
    </w:p>
    <w:p w14:paraId="4024CBAD">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7.</w:t>
      </w:r>
      <w:r>
        <w:rPr>
          <w:rFonts w:hint="eastAsia" w:ascii="Times New Roman" w:cs="Times New Roman" w:hAnsiTheme="minorEastAsia"/>
          <w:sz w:val="24"/>
          <w:szCs w:val="24"/>
          <w:lang w:eastAsia="zh-CN" w:bidi="ar-SA"/>
        </w:rPr>
        <w:t xml:space="preserve">2.2  S&amp;P可根据暂停的原因和性质确定暂停期限，暂停期限最长不得超过 6个月。 </w:t>
      </w:r>
    </w:p>
    <w:p w14:paraId="1CF1FAC0">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7.</w:t>
      </w:r>
      <w:r>
        <w:rPr>
          <w:rFonts w:hint="eastAsia" w:ascii="Times New Roman" w:cs="Times New Roman" w:hAnsiTheme="minorEastAsia"/>
          <w:sz w:val="24"/>
          <w:szCs w:val="24"/>
          <w:lang w:eastAsia="zh-CN" w:bidi="ar-SA"/>
        </w:rPr>
        <w:t xml:space="preserve">2.3 暂停期间，HSPM认证证书暂时无效。如获证组织采取有效的纠正措施，造成暂停的原因已消除的，S&amp;P应恢复其认证证书，并保留相应证据。 </w:t>
      </w:r>
    </w:p>
    <w:p w14:paraId="56053897">
      <w:pPr>
        <w:widowControl w:val="0"/>
        <w:autoSpaceDE w:val="0"/>
        <w:autoSpaceDN w:val="0"/>
        <w:adjustRightInd w:val="0"/>
        <w:spacing w:beforeLines="50" w:after="0"/>
        <w:rPr>
          <w:rFonts w:ascii="Times New Roman" w:cs="Times New Roman" w:hAnsiTheme="minorEastAsia"/>
          <w:b/>
          <w:sz w:val="24"/>
          <w:szCs w:val="24"/>
          <w:lang w:eastAsia="zh-CN" w:bidi="ar-SA"/>
        </w:rPr>
      </w:pPr>
      <w:r>
        <w:rPr>
          <w:rFonts w:hint="eastAsia" w:ascii="Times New Roman" w:cs="Times New Roman" w:hAnsiTheme="minorEastAsia"/>
          <w:b/>
          <w:sz w:val="24"/>
          <w:szCs w:val="24"/>
          <w:lang w:eastAsia="zh-CN" w:bidi="ar-SA"/>
        </w:rPr>
        <w:t>7.3 认证证书的撤销</w:t>
      </w:r>
    </w:p>
    <w:p w14:paraId="3827253D">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获证组织有以下情形之一的，S&amp;P应在获得相关信息并调查核实后 5 日内撤销其认证证书，并保留相应证据：</w:t>
      </w:r>
    </w:p>
    <w:p w14:paraId="1DD8A774">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（1）被注销或撤销法律地位证明文件的；</w:t>
      </w:r>
    </w:p>
    <w:p w14:paraId="438A781C">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（2）被“国家企业信用信息公示系统”和“信用中国”列入严重违法失信名单的；</w:t>
      </w:r>
    </w:p>
    <w:p w14:paraId="78A3B95C">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（3）认证证书的暂停期限已满，但导致暂停的问题未得到解决或有效纠正的；</w:t>
      </w:r>
    </w:p>
    <w:p w14:paraId="213DA231">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（4）经行政监管部门确认因获证组织违规而造成产品和服务等重大安全事故的；</w:t>
      </w:r>
    </w:p>
    <w:p w14:paraId="72722F84">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（5）HSPM没有运行或者已不具备运行条件的；</w:t>
      </w:r>
    </w:p>
    <w:p w14:paraId="396EF753">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（6）其他应撤销认证证书的。 </w:t>
      </w:r>
    </w:p>
    <w:p w14:paraId="2324B4A8">
      <w:pPr>
        <w:widowControl w:val="0"/>
        <w:autoSpaceDE w:val="0"/>
        <w:autoSpaceDN w:val="0"/>
        <w:adjustRightInd w:val="0"/>
        <w:spacing w:beforeLines="50" w:after="0"/>
        <w:rPr>
          <w:rFonts w:ascii="Times New Roman" w:cs="Times New Roman" w:hAnsiTheme="minorEastAsia"/>
          <w:b/>
          <w:sz w:val="24"/>
          <w:szCs w:val="24"/>
          <w:lang w:eastAsia="zh-CN" w:bidi="ar-SA"/>
        </w:rPr>
      </w:pPr>
      <w:r>
        <w:rPr>
          <w:rFonts w:hint="eastAsia" w:ascii="Times New Roman" w:cs="Times New Roman" w:hAnsiTheme="minorEastAsia"/>
          <w:b/>
          <w:sz w:val="24"/>
          <w:szCs w:val="24"/>
          <w:lang w:eastAsia="zh-CN" w:bidi="ar-SA"/>
        </w:rPr>
        <w:t>7.4 认证证书的注销</w:t>
      </w:r>
    </w:p>
    <w:p w14:paraId="18DD3BC6">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获证组织主动申请不再保持认证证书时，S&amp;P应确认在不存在暂停或撤销情形后，注销其认证证书，并保留相应证据。</w:t>
      </w:r>
    </w:p>
    <w:p w14:paraId="083ED26B">
      <w:pPr>
        <w:pStyle w:val="2"/>
        <w:rPr>
          <w:rFonts w:hAnsi="Times New Roman"/>
          <w:lang w:eastAsia="zh-CN" w:bidi="ar-SA"/>
        </w:rPr>
      </w:pPr>
      <w:bookmarkStart w:id="21" w:name="_Toc227742107"/>
      <w:r>
        <w:rPr>
          <w:rFonts w:hint="eastAsia" w:hAnsi="Times New Roman"/>
          <w:lang w:eastAsia="zh-CN" w:bidi="ar-SA"/>
        </w:rPr>
        <w:t>8</w:t>
      </w:r>
      <w:r>
        <w:rPr>
          <w:rFonts w:hAnsi="Times New Roman"/>
          <w:lang w:eastAsia="zh-CN" w:bidi="ar-SA"/>
        </w:rPr>
        <w:t xml:space="preserve"> </w:t>
      </w:r>
      <w:r>
        <w:rPr>
          <w:rFonts w:hint="eastAsia"/>
          <w:lang w:eastAsia="zh-CN" w:bidi="ar-SA"/>
        </w:rPr>
        <w:t>申诉（投诉）处理</w:t>
      </w:r>
      <w:bookmarkEnd w:id="21"/>
    </w:p>
    <w:p w14:paraId="43E49D3E">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 xml:space="preserve">8.1 </w:t>
      </w:r>
      <w:r>
        <w:rPr>
          <w:rFonts w:hint="eastAsia" w:ascii="Times New Roman" w:cs="Times New Roman" w:hAnsiTheme="minorEastAsia"/>
          <w:sz w:val="24"/>
          <w:szCs w:val="24"/>
          <w:lang w:eastAsia="zh-CN" w:bidi="ar-SA"/>
        </w:rPr>
        <w:t xml:space="preserve">S&amp;P建立并实施《申诉投诉管理程序》。认证委托人对认证决定有异议的，可以向S&amp;P提出申诉。任何组织和个人对认证过程和认证决定有异议的，可以向S&amp;P提出投诉。 </w:t>
      </w:r>
    </w:p>
    <w:p w14:paraId="37748881">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8.</w:t>
      </w:r>
      <w:r>
        <w:rPr>
          <w:rFonts w:hint="eastAsia" w:ascii="Times New Roman" w:cs="Times New Roman" w:hAnsiTheme="minorEastAsia"/>
          <w:sz w:val="24"/>
          <w:szCs w:val="24"/>
          <w:lang w:eastAsia="zh-CN" w:bidi="ar-SA"/>
        </w:rPr>
        <w:t>2 申诉（投诉）的提交、调查和决定不应造成针对申诉人/投诉人的歧视。S&amp;P对申诉人（投诉人）、申诉（投诉）事项的信息应予以保密。</w:t>
      </w:r>
    </w:p>
    <w:p w14:paraId="4CB33D6E">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 xml:space="preserve">8.3 </w:t>
      </w:r>
      <w:r>
        <w:rPr>
          <w:rFonts w:hint="eastAsia" w:ascii="Times New Roman" w:cs="Times New Roman" w:hAnsiTheme="minorEastAsia"/>
          <w:sz w:val="24"/>
          <w:szCs w:val="24"/>
          <w:lang w:eastAsia="zh-CN" w:bidi="ar-SA"/>
        </w:rPr>
        <w:t>S&amp;P应及时、公正、有效地处理申诉（投诉），采取必要的纠正措施。对申诉（投诉）的处理决定，应由与申诉（投诉）事项无关的人员做出，或经其审核和批准，并应在 60 日内将处理结果书面告知申诉人（投诉人）。</w:t>
      </w:r>
    </w:p>
    <w:p w14:paraId="21744D02">
      <w:pPr>
        <w:pStyle w:val="2"/>
        <w:rPr>
          <w:rFonts w:hAnsi="Times New Roman"/>
          <w:lang w:eastAsia="zh-CN" w:bidi="ar-SA"/>
        </w:rPr>
      </w:pPr>
      <w:bookmarkStart w:id="22" w:name="_Toc227742108"/>
      <w:r>
        <w:rPr>
          <w:rFonts w:hint="eastAsia" w:hAnsi="Times New Roman"/>
          <w:lang w:eastAsia="zh-CN" w:bidi="ar-SA"/>
        </w:rPr>
        <w:t>9</w:t>
      </w:r>
      <w:r>
        <w:rPr>
          <w:rFonts w:hAnsi="Times New Roman"/>
          <w:lang w:eastAsia="zh-CN" w:bidi="ar-SA"/>
        </w:rPr>
        <w:t xml:space="preserve"> </w:t>
      </w:r>
      <w:r>
        <w:rPr>
          <w:rFonts w:hint="eastAsia"/>
          <w:lang w:eastAsia="zh-CN" w:bidi="ar-SA"/>
        </w:rPr>
        <w:t>信息公开与报告</w:t>
      </w:r>
      <w:bookmarkEnd w:id="22"/>
    </w:p>
    <w:p w14:paraId="265C5312">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 xml:space="preserve">9.1 </w:t>
      </w:r>
      <w:r>
        <w:rPr>
          <w:rFonts w:hint="eastAsia" w:ascii="Times New Roman" w:cs="Times New Roman" w:hAnsiTheme="minorEastAsia"/>
          <w:sz w:val="24"/>
          <w:szCs w:val="24"/>
          <w:lang w:eastAsia="zh-CN" w:bidi="ar-SA"/>
        </w:rPr>
        <w:t>S&amp;P建立并实施了《信息通报管理规定》，按照国家认监委关于认证信息上报的要求，按时上报认证相关信息，至少包括：</w:t>
      </w:r>
    </w:p>
    <w:p w14:paraId="2B305391">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w:t>
      </w:r>
      <w:r>
        <w:rPr>
          <w:rFonts w:ascii="Times New Roman" w:cs="Times New Roman" w:hAnsiTheme="minorEastAsia"/>
          <w:sz w:val="24"/>
          <w:szCs w:val="24"/>
          <w:lang w:eastAsia="zh-CN" w:bidi="ar-SA"/>
        </w:rPr>
        <w:t>1</w:t>
      </w:r>
      <w:r>
        <w:rPr>
          <w:rFonts w:hint="eastAsia" w:ascii="Times New Roman" w:cs="Times New Roman" w:hAnsiTheme="minorEastAsia"/>
          <w:sz w:val="24"/>
          <w:szCs w:val="24"/>
          <w:lang w:eastAsia="zh-CN" w:bidi="ar-SA"/>
        </w:rPr>
        <w:t>）上一年度工作报告；</w:t>
      </w:r>
    </w:p>
    <w:p w14:paraId="4BABA0CF">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w:t>
      </w:r>
      <w:r>
        <w:rPr>
          <w:rFonts w:ascii="Times New Roman" w:cs="Times New Roman" w:hAnsiTheme="minorEastAsia"/>
          <w:sz w:val="24"/>
          <w:szCs w:val="24"/>
          <w:lang w:eastAsia="zh-CN" w:bidi="ar-SA"/>
        </w:rPr>
        <w:t>2</w:t>
      </w:r>
      <w:r>
        <w:rPr>
          <w:rFonts w:hint="eastAsia" w:ascii="Times New Roman" w:cs="Times New Roman" w:hAnsiTheme="minorEastAsia"/>
          <w:sz w:val="24"/>
          <w:szCs w:val="24"/>
          <w:lang w:eastAsia="zh-CN" w:bidi="ar-SA"/>
        </w:rPr>
        <w:t>）社会责任报告；</w:t>
      </w:r>
    </w:p>
    <w:p w14:paraId="1DEBD635">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w:t>
      </w:r>
      <w:r>
        <w:rPr>
          <w:rFonts w:ascii="Times New Roman" w:cs="Times New Roman" w:hAnsiTheme="minorEastAsia"/>
          <w:sz w:val="24"/>
          <w:szCs w:val="24"/>
          <w:lang w:eastAsia="zh-CN" w:bidi="ar-SA"/>
        </w:rPr>
        <w:t>3</w:t>
      </w:r>
      <w:r>
        <w:rPr>
          <w:rFonts w:hint="eastAsia" w:ascii="Times New Roman" w:cs="Times New Roman" w:hAnsiTheme="minorEastAsia"/>
          <w:sz w:val="24"/>
          <w:szCs w:val="24"/>
          <w:lang w:eastAsia="zh-CN" w:bidi="ar-SA"/>
        </w:rPr>
        <w:t>）认证计划及认证结果；</w:t>
      </w:r>
    </w:p>
    <w:p w14:paraId="66591B19">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w:t>
      </w:r>
      <w:r>
        <w:rPr>
          <w:rFonts w:ascii="Times New Roman" w:cs="Times New Roman" w:hAnsiTheme="minorEastAsia"/>
          <w:sz w:val="24"/>
          <w:szCs w:val="24"/>
          <w:lang w:eastAsia="zh-CN" w:bidi="ar-SA"/>
        </w:rPr>
        <w:t>4</w:t>
      </w:r>
      <w:r>
        <w:rPr>
          <w:rFonts w:hint="eastAsia" w:ascii="Times New Roman" w:cs="Times New Roman" w:hAnsiTheme="minorEastAsia"/>
          <w:sz w:val="24"/>
          <w:szCs w:val="24"/>
          <w:lang w:eastAsia="zh-CN" w:bidi="ar-SA"/>
        </w:rPr>
        <w:t>）认证证书的状态；</w:t>
      </w:r>
    </w:p>
    <w:p w14:paraId="5F3C35B4">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w:t>
      </w: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）其他应报告的信息。</w:t>
      </w:r>
    </w:p>
    <w:p w14:paraId="4F5543E0">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9.2</w:t>
      </w:r>
      <w:r>
        <w:rPr>
          <w:rFonts w:hint="eastAsia" w:ascii="Times New Roman" w:cs="Times New Roman" w:hAnsiTheme="minorEastAsia"/>
          <w:sz w:val="24"/>
          <w:szCs w:val="24"/>
          <w:lang w:eastAsia="zh-CN" w:bidi="ar-SA"/>
        </w:rPr>
        <w:t xml:space="preserve"> S&amp;P应至少在现场审核实施前 3 日，将审核计划上报国家认监委。 </w:t>
      </w:r>
    </w:p>
    <w:p w14:paraId="76DCBCC8">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9.</w:t>
      </w:r>
      <w:r>
        <w:rPr>
          <w:rFonts w:hint="eastAsia" w:ascii="Times New Roman" w:cs="Times New Roman" w:hAnsiTheme="minorEastAsia"/>
          <w:sz w:val="24"/>
          <w:szCs w:val="24"/>
          <w:lang w:eastAsia="zh-CN" w:bidi="ar-SA"/>
        </w:rPr>
        <w:t>3 S&amp;P在颁发认证证书后，应在次月10日前将认证结果相关信息报送国家认监委。</w:t>
      </w:r>
    </w:p>
    <w:p w14:paraId="7011BE8A">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S&amp;P通过网站向公众提供查询认证证书有效性的方式，可通过“国家认监委”或“全国认证认可信息公共服务平台（认 e云）”查询。 </w:t>
      </w:r>
    </w:p>
    <w:p w14:paraId="3FD86814">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9.</w:t>
      </w:r>
      <w:r>
        <w:rPr>
          <w:rFonts w:hint="eastAsia" w:ascii="Times New Roman" w:cs="Times New Roman" w:hAnsiTheme="minorEastAsia"/>
          <w:sz w:val="24"/>
          <w:szCs w:val="24"/>
          <w:lang w:eastAsia="zh-CN" w:bidi="ar-SA"/>
        </w:rPr>
        <w:t xml:space="preserve">4 S&amp;P通过其网站或者其他方式公开暂停、撤销、注销认证证书的信息。暂停认证证书的，应明确暂停的起始日期和暂停期限。S&amp;P应在暂停、撤销、注销认证证书之日起 2个工作日内，按规定程序和要求将相关信息报送国家认监委。 </w:t>
      </w:r>
    </w:p>
    <w:p w14:paraId="37580B3B">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9.</w:t>
      </w:r>
      <w:r>
        <w:rPr>
          <w:rFonts w:hint="eastAsia" w:ascii="Times New Roman" w:cs="Times New Roman" w:hAnsiTheme="minorEastAsia"/>
          <w:sz w:val="24"/>
          <w:szCs w:val="24"/>
          <w:lang w:eastAsia="zh-CN" w:bidi="ar-SA"/>
        </w:rPr>
        <w:t>5 获证组织发生重大事故的，S&amp;P应对该组织认证过程进行自查，按照认证行政监管部门的要求，在规定的时间内提供相关认证材料。</w:t>
      </w:r>
    </w:p>
    <w:p w14:paraId="4C880EB6">
      <w:pPr>
        <w:pStyle w:val="2"/>
        <w:rPr>
          <w:rFonts w:hAnsi="Times New Roman"/>
          <w:lang w:eastAsia="zh-CN" w:bidi="ar-SA"/>
        </w:rPr>
      </w:pPr>
      <w:bookmarkStart w:id="23" w:name="_Toc227742109"/>
      <w:r>
        <w:rPr>
          <w:rFonts w:hint="eastAsia" w:hAnsi="Times New Roman"/>
          <w:lang w:eastAsia="zh-CN" w:bidi="ar-SA"/>
        </w:rPr>
        <w:t>10</w:t>
      </w:r>
      <w:r>
        <w:rPr>
          <w:rFonts w:hAnsi="Times New Roman"/>
          <w:lang w:eastAsia="zh-CN" w:bidi="ar-SA"/>
        </w:rPr>
        <w:t xml:space="preserve"> </w:t>
      </w:r>
      <w:r>
        <w:rPr>
          <w:rFonts w:hint="eastAsia"/>
          <w:lang w:eastAsia="zh-CN" w:bidi="ar-SA"/>
        </w:rPr>
        <w:t>认证记录</w:t>
      </w:r>
      <w:bookmarkEnd w:id="23"/>
    </w:p>
    <w:p w14:paraId="3AA0A6E7">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10.</w:t>
      </w:r>
      <w:r>
        <w:rPr>
          <w:rFonts w:hint="eastAsia" w:ascii="Times New Roman" w:cs="Times New Roman" w:hAnsiTheme="minorEastAsia"/>
          <w:sz w:val="24"/>
          <w:szCs w:val="24"/>
          <w:lang w:eastAsia="zh-CN" w:bidi="ar-SA"/>
        </w:rPr>
        <w:t xml:space="preserve">1 S&amp;P已建立并实施了《认证档案管理规定》，规定了认证记录、认证资料归档留存制度，记录认证活动全过程并妥善保存。归档留存期限为认证证书有效期届满之日起2年以上，或被注销、撤销之日起2年以上。 </w:t>
      </w:r>
    </w:p>
    <w:p w14:paraId="46B33451">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10.</w:t>
      </w:r>
      <w:r>
        <w:rPr>
          <w:rFonts w:hint="eastAsia" w:ascii="Times New Roman" w:cs="Times New Roman" w:hAnsiTheme="minorEastAsia"/>
          <w:sz w:val="24"/>
          <w:szCs w:val="24"/>
          <w:lang w:eastAsia="zh-CN" w:bidi="ar-SA"/>
        </w:rPr>
        <w:t>2 认证记录应真实、准确、完整，以证实认证活动得到有效实施。认证记录包括但不限于：</w:t>
      </w:r>
    </w:p>
    <w:p w14:paraId="6B6DFD39">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（1）认证申请书；</w:t>
      </w:r>
    </w:p>
    <w:p w14:paraId="04FB5A4B">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（2）认证申请评审记录；</w:t>
      </w:r>
    </w:p>
    <w:p w14:paraId="28E70DFC">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（3）认证合同；</w:t>
      </w:r>
    </w:p>
    <w:p w14:paraId="5513CE98">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（4）审核方案，包括多场所抽样方法（适用时）；</w:t>
      </w:r>
    </w:p>
    <w:p w14:paraId="1B0CE66A">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（5）确定审核时间的理由（计算过程）；</w:t>
      </w:r>
    </w:p>
    <w:p w14:paraId="43501382">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（6）审核计划；</w:t>
      </w:r>
    </w:p>
    <w:p w14:paraId="2EF31D75">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（7）首、末次会议签到表；</w:t>
      </w:r>
    </w:p>
    <w:p w14:paraId="08A1DF47">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（8）现场审核记录；</w:t>
      </w:r>
    </w:p>
    <w:p w14:paraId="76F46846">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（9）不符合报告及验证记录；</w:t>
      </w:r>
    </w:p>
    <w:p w14:paraId="2303994B">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（10）审核报告；</w:t>
      </w:r>
    </w:p>
    <w:p w14:paraId="0F81317B">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（11）认证决定记录。 </w:t>
      </w:r>
    </w:p>
    <w:p w14:paraId="6FB1C4AF">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10.</w:t>
      </w:r>
      <w:r>
        <w:rPr>
          <w:rFonts w:hint="eastAsia" w:ascii="Times New Roman" w:cs="Times New Roman" w:hAnsiTheme="minorEastAsia"/>
          <w:sz w:val="24"/>
          <w:szCs w:val="24"/>
          <w:lang w:eastAsia="zh-CN" w:bidi="ar-SA"/>
        </w:rPr>
        <w:t>3 在认证证书有效期内，认证活动参与各方签字或者盖章的认证记录、资料等，应保存具有法律效力的原件，可以纸质文件或符合《电子签名法》规定的电子文件形式保存。签字或盖章的认证记录至少包括：</w:t>
      </w:r>
    </w:p>
    <w:p w14:paraId="082AE460">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（1）认证申请书；</w:t>
      </w:r>
    </w:p>
    <w:p w14:paraId="6F65E274">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（2）认证合同；</w:t>
      </w:r>
    </w:p>
    <w:p w14:paraId="0CDDA6C8">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（3）审核计划；</w:t>
      </w:r>
    </w:p>
    <w:p w14:paraId="0FA010FD">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（4）首、末次会议签到表；</w:t>
      </w:r>
    </w:p>
    <w:p w14:paraId="4A4B220B">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（5）不符合报告；</w:t>
      </w:r>
    </w:p>
    <w:p w14:paraId="0BDEB287">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（6）认证决定的结论。</w:t>
      </w:r>
    </w:p>
    <w:p w14:paraId="44D92C26">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10.</w:t>
      </w:r>
      <w:r>
        <w:rPr>
          <w:rFonts w:hint="eastAsia" w:ascii="Times New Roman" w:cs="Times New Roman" w:hAnsiTheme="minorEastAsia"/>
          <w:sz w:val="24"/>
          <w:szCs w:val="24"/>
          <w:lang w:eastAsia="zh-CN" w:bidi="ar-SA"/>
        </w:rPr>
        <w:t xml:space="preserve">4 认证记录应使用中文，以电子文档形式保存认证记录的，应采用不可编辑的方式。 </w:t>
      </w:r>
    </w:p>
    <w:p w14:paraId="37E6C629">
      <w:pPr>
        <w:widowControl w:val="0"/>
        <w:autoSpaceDE w:val="0"/>
        <w:autoSpaceDN w:val="0"/>
        <w:adjustRightInd w:val="0"/>
        <w:spacing w:beforeLines="50"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10.</w:t>
      </w:r>
      <w:r>
        <w:rPr>
          <w:rFonts w:hint="eastAsia" w:ascii="Times New Roman" w:cs="Times New Roman" w:hAnsiTheme="minorEastAsia"/>
          <w:sz w:val="24"/>
          <w:szCs w:val="24"/>
          <w:lang w:eastAsia="zh-CN" w:bidi="ar-SA"/>
        </w:rPr>
        <w:t>5 为了证实认证活动的实施，除了认证机构要保持上述认证记录外，获证组织应留存认证证书有效期内相应的认证记录，至少包括：</w:t>
      </w:r>
    </w:p>
    <w:p w14:paraId="0EA67D43">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（1）认证合同；</w:t>
      </w:r>
    </w:p>
    <w:p w14:paraId="682BD319">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（2）审核计划；</w:t>
      </w:r>
    </w:p>
    <w:p w14:paraId="642228BF">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（3）首、末次会议签到表；</w:t>
      </w:r>
    </w:p>
    <w:p w14:paraId="773359E2">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（4）不符合报告及原因分析和纠正措施；</w:t>
      </w:r>
    </w:p>
    <w:p w14:paraId="1BB56518">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（5）审核报告；</w:t>
      </w:r>
    </w:p>
    <w:p w14:paraId="12F844E4">
      <w:pPr>
        <w:widowControl w:val="0"/>
        <w:autoSpaceDE w:val="0"/>
        <w:autoSpaceDN w:val="0"/>
        <w:adjustRightInd w:val="0"/>
        <w:spacing w:beforeLines="50"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（6）暂停、撤销通知（适用时）。</w:t>
      </w:r>
    </w:p>
    <w:p w14:paraId="2A6EBD49">
      <w:pPr>
        <w:pStyle w:val="2"/>
        <w:rPr>
          <w:rFonts w:ascii="Times New Roman" w:hAnsi="Times New Roman" w:cs="Times New Roman"/>
          <w:lang w:eastAsia="zh-CN" w:bidi="ar-SA"/>
        </w:rPr>
      </w:pPr>
      <w:bookmarkStart w:id="24" w:name="_Toc227742110"/>
      <w:r>
        <w:rPr>
          <w:rFonts w:ascii="Times New Roman" w:hAnsi="Times New Roman" w:cs="Times New Roman"/>
          <w:lang w:eastAsia="zh-CN" w:bidi="ar-SA"/>
        </w:rPr>
        <w:t xml:space="preserve">11 </w:t>
      </w:r>
      <w:r>
        <w:rPr>
          <w:rFonts w:ascii="Times New Roman" w:cs="Times New Roman"/>
          <w:lang w:eastAsia="zh-CN" w:bidi="ar-SA"/>
        </w:rPr>
        <w:t>其他</w:t>
      </w:r>
      <w:bookmarkEnd w:id="24"/>
    </w:p>
    <w:p w14:paraId="292376EC">
      <w:pP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11.1</w:t>
      </w:r>
      <w:r>
        <w:rPr>
          <w:rFonts w:ascii="Times New Roman" w:cs="Times New Roman"/>
          <w:sz w:val="24"/>
          <w:szCs w:val="24"/>
          <w:lang w:eastAsia="zh-CN" w:bidi="ar-SA"/>
        </w:rPr>
        <w:t>认证标准换版</w:t>
      </w:r>
    </w:p>
    <w:p w14:paraId="695D3486">
      <w:pPr>
        <w:ind w:firstLine="480" w:firstLineChars="200"/>
        <w:rPr>
          <w:rFonts w:ascii="Times New Roman" w:hAnsi="Times New Roman" w:cs="Times New Roman"/>
          <w:sz w:val="24"/>
          <w:szCs w:val="24"/>
          <w:lang w:eastAsia="zh-CN" w:bidi="ar-SA"/>
        </w:rPr>
      </w:pPr>
      <w:r>
        <w:rPr>
          <w:rFonts w:ascii="Times New Roman" w:cs="Times New Roman"/>
          <w:sz w:val="24"/>
          <w:szCs w:val="24"/>
          <w:lang w:eastAsia="zh-CN" w:bidi="ar-SA"/>
        </w:rPr>
        <w:t>认证机构应按照国家认监委发布的管理体系认证标准换版工作要求，落实标准的换版工作，确保认证委托人能够及时获得新版标准认证。</w:t>
      </w:r>
      <w:r>
        <w:rPr>
          <w:rFonts w:ascii="Times New Roman" w:hAnsi="Times New Roman" w:cs="Times New Roman"/>
          <w:sz w:val="24"/>
          <w:szCs w:val="24"/>
          <w:lang w:eastAsia="zh-CN" w:bidi="ar-SA"/>
        </w:rPr>
        <w:t xml:space="preserve"> </w:t>
      </w:r>
    </w:p>
    <w:p w14:paraId="7E4F89E9">
      <w:pPr>
        <w:rPr>
          <w:rFonts w:ascii="Times New Roman" w:cs="Times New Roman"/>
          <w:sz w:val="24"/>
          <w:szCs w:val="24"/>
          <w:lang w:eastAsia="zh-CN" w:bidi="ar-SA"/>
        </w:rPr>
      </w:pPr>
      <w:r>
        <w:rPr>
          <w:rFonts w:ascii="Times New Roman" w:cs="Times New Roman"/>
          <w:sz w:val="24"/>
          <w:szCs w:val="24"/>
          <w:lang w:eastAsia="zh-CN" w:bidi="ar-SA"/>
        </w:rPr>
        <w:t>11.2内部审核</w:t>
      </w:r>
    </w:p>
    <w:p w14:paraId="6A173AA2">
      <w:pPr>
        <w:ind w:firstLine="480" w:firstLineChars="200"/>
        <w:rPr>
          <w:rFonts w:ascii="Times New Roman" w:cs="Times New Roman"/>
          <w:sz w:val="24"/>
          <w:szCs w:val="24"/>
          <w:lang w:eastAsia="zh-CN" w:bidi="ar-SA"/>
        </w:rPr>
      </w:pPr>
      <w:r>
        <w:rPr>
          <w:rFonts w:hint="eastAsia" w:ascii="Times New Roman" w:cs="Times New Roman"/>
          <w:sz w:val="24"/>
          <w:szCs w:val="24"/>
          <w:lang w:eastAsia="zh-CN" w:bidi="ar-SA"/>
        </w:rPr>
        <w:t>S&amp;P</w:t>
      </w:r>
      <w:r>
        <w:rPr>
          <w:rFonts w:ascii="Times New Roman" w:cs="Times New Roman"/>
          <w:sz w:val="24"/>
          <w:szCs w:val="24"/>
          <w:lang w:eastAsia="zh-CN" w:bidi="ar-SA"/>
        </w:rPr>
        <w:t>建立并实施文件化的内部审核程序，确保至少每年对</w:t>
      </w:r>
      <w:r>
        <w:rPr>
          <w:rFonts w:hint="eastAsia" w:ascii="Times New Roman" w:cs="Times New Roman"/>
          <w:sz w:val="24"/>
          <w:szCs w:val="24"/>
          <w:lang w:eastAsia="zh-CN" w:bidi="ar-SA"/>
        </w:rPr>
        <w:t>HSPM</w:t>
      </w:r>
      <w:r>
        <w:rPr>
          <w:rFonts w:ascii="Times New Roman" w:cs="Times New Roman"/>
          <w:sz w:val="24"/>
          <w:szCs w:val="24"/>
          <w:lang w:eastAsia="zh-CN" w:bidi="ar-SA"/>
        </w:rPr>
        <w:t>认证开展情况实施内部审核。内部审核应包括对本规则执行情况的自查，并保持相应记录和报告。</w:t>
      </w:r>
    </w:p>
    <w:p w14:paraId="04AC33ED">
      <w:pP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11.</w:t>
      </w:r>
      <w:r>
        <w:rPr>
          <w:rFonts w:hint="eastAsia" w:ascii="Times New Roman" w:hAnsi="Times New Roman" w:cs="Times New Roman"/>
          <w:sz w:val="24"/>
          <w:szCs w:val="24"/>
          <w:lang w:eastAsia="zh-CN" w:bidi="ar-SA"/>
        </w:rPr>
        <w:t>3</w:t>
      </w:r>
      <w:r>
        <w:rPr>
          <w:rFonts w:ascii="Times New Roman" w:cs="Times New Roman"/>
          <w:sz w:val="24"/>
          <w:szCs w:val="24"/>
          <w:lang w:eastAsia="zh-CN" w:bidi="ar-SA"/>
        </w:rPr>
        <w:t>技术服务</w:t>
      </w:r>
    </w:p>
    <w:p w14:paraId="4EF1592F">
      <w:pP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11.</w:t>
      </w:r>
      <w:r>
        <w:rPr>
          <w:rFonts w:hint="eastAsia" w:ascii="Times New Roman" w:hAnsi="Times New Roman" w:cs="Times New Roman"/>
          <w:sz w:val="24"/>
          <w:szCs w:val="24"/>
          <w:lang w:eastAsia="zh-CN" w:bidi="ar-SA"/>
        </w:rPr>
        <w:t>3</w:t>
      </w:r>
      <w:r>
        <w:rPr>
          <w:rFonts w:ascii="Times New Roman" w:hAnsi="Times New Roman" w:cs="Times New Roman"/>
          <w:sz w:val="24"/>
          <w:szCs w:val="24"/>
          <w:lang w:eastAsia="zh-CN" w:bidi="ar-SA"/>
        </w:rPr>
        <w:t>.1 S&amp;P</w:t>
      </w:r>
      <w:r>
        <w:rPr>
          <w:rFonts w:ascii="Times New Roman" w:cs="Times New Roman"/>
          <w:sz w:val="24"/>
          <w:szCs w:val="24"/>
          <w:lang w:eastAsia="zh-CN" w:bidi="ar-SA"/>
        </w:rPr>
        <w:t>可为组织提供贯标服务，不得代替组织编制体系文件、开展内部审核和管理评审，严禁协助组织编造虚假管理体系文件、体系运行记录等。</w:t>
      </w:r>
    </w:p>
    <w:p w14:paraId="0DD2806E">
      <w:pP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11.</w:t>
      </w:r>
      <w:r>
        <w:rPr>
          <w:rFonts w:hint="eastAsia" w:ascii="Times New Roman" w:hAnsi="Times New Roman" w:cs="Times New Roman"/>
          <w:sz w:val="24"/>
          <w:szCs w:val="24"/>
          <w:lang w:eastAsia="zh-CN" w:bidi="ar-SA"/>
        </w:rPr>
        <w:t>3</w:t>
      </w:r>
      <w:r>
        <w:rPr>
          <w:rFonts w:ascii="Times New Roman" w:hAnsi="Times New Roman" w:cs="Times New Roman"/>
          <w:sz w:val="24"/>
          <w:szCs w:val="24"/>
          <w:lang w:eastAsia="zh-CN" w:bidi="ar-SA"/>
        </w:rPr>
        <w:t>.2</w:t>
      </w:r>
      <w:r>
        <w:rPr>
          <w:rFonts w:ascii="Times New Roman" w:cs="Times New Roman"/>
          <w:sz w:val="24"/>
          <w:szCs w:val="24"/>
          <w:lang w:eastAsia="zh-CN" w:bidi="ar-SA"/>
        </w:rPr>
        <w:t>为确保没有利益冲突，参与对某组织</w:t>
      </w:r>
      <w:r>
        <w:rPr>
          <w:rFonts w:ascii="Times New Roman" w:hAnsi="Times New Roman" w:cs="Times New Roman"/>
          <w:sz w:val="24"/>
          <w:szCs w:val="24"/>
          <w:lang w:eastAsia="zh-CN" w:bidi="ar-SA"/>
        </w:rPr>
        <w:t>HSPM</w:t>
      </w:r>
      <w:r>
        <w:rPr>
          <w:rFonts w:ascii="Times New Roman" w:cs="Times New Roman"/>
          <w:sz w:val="24"/>
          <w:szCs w:val="24"/>
          <w:lang w:eastAsia="zh-CN" w:bidi="ar-SA"/>
        </w:rPr>
        <w:t>技术服务的人员</w:t>
      </w:r>
      <w:r>
        <w:rPr>
          <w:rFonts w:ascii="Times New Roman" w:hAnsi="Times New Roman" w:cs="Times New Roman"/>
          <w:sz w:val="24"/>
          <w:szCs w:val="24"/>
          <w:lang w:eastAsia="zh-CN" w:bidi="ar-SA"/>
        </w:rPr>
        <w:t>2</w:t>
      </w:r>
      <w:r>
        <w:rPr>
          <w:rFonts w:ascii="Times New Roman" w:cs="Times New Roman"/>
          <w:sz w:val="24"/>
          <w:szCs w:val="24"/>
          <w:lang w:eastAsia="zh-CN" w:bidi="ar-SA"/>
        </w:rPr>
        <w:t>年内不应被认证机构安排针对该组织的审核或其他认证活动。</w:t>
      </w:r>
      <w:r>
        <w:rPr>
          <w:rFonts w:ascii="Times New Roman" w:hAnsi="Times New Roman" w:cs="Times New Roman"/>
          <w:sz w:val="24"/>
          <w:szCs w:val="24"/>
          <w:lang w:eastAsia="zh-CN" w:bidi="ar-SA"/>
        </w:rPr>
        <w:t xml:space="preserve"> </w:t>
      </w:r>
    </w:p>
    <w:p w14:paraId="0FA420B4">
      <w:pP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11.</w:t>
      </w:r>
      <w:r>
        <w:rPr>
          <w:rFonts w:hint="eastAsia" w:ascii="Times New Roman" w:hAnsi="Times New Roman" w:cs="Times New Roman"/>
          <w:sz w:val="24"/>
          <w:szCs w:val="24"/>
          <w:lang w:eastAsia="zh-CN" w:bidi="ar-SA"/>
        </w:rPr>
        <w:t>4</w:t>
      </w:r>
      <w:r>
        <w:rPr>
          <w:rFonts w:ascii="Times New Roman" w:cs="Times New Roman"/>
          <w:sz w:val="24"/>
          <w:szCs w:val="24"/>
          <w:lang w:eastAsia="zh-CN" w:bidi="ar-SA"/>
        </w:rPr>
        <w:t>认证数据安全</w:t>
      </w:r>
    </w:p>
    <w:p w14:paraId="515C6E0E">
      <w:pPr>
        <w:ind w:firstLine="480" w:firstLineChars="200"/>
        <w:rPr>
          <w:rFonts w:ascii="Times New Roman" w:hAnsi="Times New Roman" w:cs="Times New Roman"/>
          <w:lang w:eastAsia="zh-CN" w:bidi="ar-SA"/>
        </w:rPr>
      </w:pPr>
      <w:r>
        <w:rPr>
          <w:rFonts w:ascii="Times New Roman" w:hAnsi="Times New Roman" w:cs="Times New Roman"/>
          <w:sz w:val="24"/>
          <w:szCs w:val="24"/>
          <w:lang w:eastAsia="zh-CN" w:bidi="ar-SA"/>
        </w:rPr>
        <w:t>S&amp;P</w:t>
      </w:r>
      <w:r>
        <w:rPr>
          <w:rFonts w:ascii="Times New Roman" w:cs="Times New Roman"/>
          <w:sz w:val="24"/>
          <w:szCs w:val="24"/>
          <w:lang w:eastAsia="zh-CN" w:bidi="ar-SA"/>
        </w:rPr>
        <w:t>应严格落实《中华人民共和国数据安全法》和《中华人民共和国网络安全法》等法律法规要求，在中华人民共和国境内开展认证活动中收集和产生的重要信息和数据应当在境内存储，确保信息和数据</w:t>
      </w:r>
      <w:r>
        <w:rPr>
          <w:rFonts w:ascii="Times New Roman" w:cs="Times New Roman"/>
          <w:lang w:eastAsia="zh-CN" w:bidi="ar-SA"/>
        </w:rPr>
        <w:t>处于有效保护和合法利用的状态。</w:t>
      </w:r>
      <w:r>
        <w:rPr>
          <w:rFonts w:ascii="Times New Roman" w:hAnsi="Times New Roman" w:cs="Times New Roman"/>
          <w:lang w:eastAsia="zh-CN" w:bidi="ar-SA"/>
        </w:rPr>
        <w:t xml:space="preserve"> </w:t>
      </w:r>
    </w:p>
    <w:p w14:paraId="4E664E7D">
      <w:pP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11.</w:t>
      </w:r>
      <w:r>
        <w:rPr>
          <w:rFonts w:hint="eastAsia" w:ascii="Times New Roman" w:hAnsi="Times New Roman" w:cs="Times New Roman"/>
          <w:sz w:val="24"/>
          <w:szCs w:val="24"/>
          <w:lang w:eastAsia="zh-CN" w:bidi="ar-SA"/>
        </w:rPr>
        <w:t>5</w:t>
      </w:r>
      <w:r>
        <w:rPr>
          <w:rFonts w:ascii="Times New Roman" w:cs="Times New Roman"/>
          <w:sz w:val="24"/>
          <w:szCs w:val="24"/>
          <w:lang w:eastAsia="zh-CN" w:bidi="ar-SA"/>
        </w:rPr>
        <w:t>认证收费</w:t>
      </w:r>
    </w:p>
    <w:p w14:paraId="01343132">
      <w:pPr>
        <w:ind w:firstLine="480" w:firstLineChars="200"/>
        <w:rPr>
          <w:rFonts w:ascii="Times New Roman" w:hAnsi="Times New Roman" w:cs="Times New Roman"/>
          <w:sz w:val="24"/>
          <w:szCs w:val="24"/>
          <w:lang w:eastAsia="zh-CN" w:bidi="ar-SA"/>
        </w:rPr>
      </w:pPr>
      <w:r>
        <w:rPr>
          <w:rFonts w:ascii="Times New Roman" w:cs="Times New Roman"/>
          <w:sz w:val="24"/>
          <w:szCs w:val="24"/>
          <w:lang w:eastAsia="zh-CN" w:bidi="ar-SA"/>
        </w:rPr>
        <w:t>按</w:t>
      </w:r>
      <w:r>
        <w:rPr>
          <w:rFonts w:ascii="Times New Roman" w:hAnsi="Times New Roman" w:cs="Times New Roman"/>
          <w:sz w:val="24"/>
          <w:szCs w:val="24"/>
          <w:lang w:eastAsia="zh-CN" w:bidi="ar-SA"/>
        </w:rPr>
        <w:t>S&amp;P</w:t>
      </w:r>
      <w:r>
        <w:rPr>
          <w:rFonts w:ascii="Times New Roman" w:cs="Times New Roman"/>
          <w:sz w:val="24"/>
          <w:szCs w:val="24"/>
          <w:lang w:eastAsia="zh-CN" w:bidi="ar-SA"/>
        </w:rPr>
        <w:t>公开文件《认证收费标准》执行。</w:t>
      </w:r>
    </w:p>
    <w:p w14:paraId="533F4F8D">
      <w:pPr>
        <w:pStyle w:val="2"/>
        <w:rPr>
          <w:rFonts w:hAnsi="Times New Roman"/>
          <w:lang w:eastAsia="zh-CN" w:bidi="ar-SA"/>
        </w:rPr>
      </w:pPr>
      <w:bookmarkStart w:id="25" w:name="_Toc227742111"/>
      <w:r>
        <w:rPr>
          <w:rFonts w:hint="eastAsia" w:hAnsi="Times New Roman"/>
          <w:lang w:eastAsia="zh-CN" w:bidi="ar-SA"/>
        </w:rPr>
        <w:t>12</w:t>
      </w:r>
      <w:r>
        <w:rPr>
          <w:rFonts w:hAnsi="Times New Roman"/>
          <w:lang w:eastAsia="zh-CN" w:bidi="ar-SA"/>
        </w:rPr>
        <w:t xml:space="preserve"> </w:t>
      </w:r>
      <w:r>
        <w:rPr>
          <w:rFonts w:hint="eastAsia"/>
          <w:lang w:eastAsia="zh-CN" w:bidi="ar-SA"/>
        </w:rPr>
        <w:t>附则</w:t>
      </w:r>
      <w:bookmarkEnd w:id="25"/>
    </w:p>
    <w:p w14:paraId="2862D65B">
      <w:pP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12.1</w:t>
      </w:r>
      <w:r>
        <w:rPr>
          <w:rFonts w:ascii="Times New Roman" w:cs="Times New Roman" w:hAnsiTheme="minorEastAsia"/>
          <w:sz w:val="24"/>
          <w:szCs w:val="24"/>
          <w:lang w:eastAsia="zh-CN" w:bidi="ar-SA"/>
        </w:rPr>
        <w:t>引用文件</w:t>
      </w:r>
    </w:p>
    <w:p w14:paraId="621DD6F2">
      <w:pPr>
        <w:rPr>
          <w:rFonts w:ascii="Times New Roman" w:hAnsi="Times New Roman" w:cs="Times New Roman"/>
          <w:sz w:val="24"/>
          <w:szCs w:val="24"/>
          <w:lang w:eastAsia="zh-CN" w:bidi="ar-SA"/>
        </w:rPr>
      </w:pPr>
      <w:r>
        <w:rPr>
          <w:rFonts w:hint="eastAsia" w:ascii="Times New Roman" w:hAnsi="Times New Roman" w:cs="Times New Roman"/>
          <w:sz w:val="24"/>
          <w:szCs w:val="24"/>
          <w:lang w:eastAsia="zh-CN" w:bidi="ar-SA"/>
        </w:rPr>
        <w:t>（</w:t>
      </w:r>
      <w:r>
        <w:rPr>
          <w:rFonts w:ascii="Times New Roman" w:hAnsi="Times New Roman" w:cs="Times New Roman"/>
          <w:sz w:val="24"/>
          <w:szCs w:val="24"/>
          <w:lang w:eastAsia="zh-CN" w:bidi="ar-SA"/>
        </w:rPr>
        <w:t>1</w:t>
      </w:r>
      <w:r>
        <w:rPr>
          <w:rFonts w:hint="eastAsia" w:ascii="Times New Roman" w:hAnsi="Times New Roman" w:cs="Times New Roman"/>
          <w:sz w:val="24"/>
          <w:szCs w:val="24"/>
          <w:lang w:eastAsia="zh-CN" w:bidi="ar-SA"/>
        </w:rPr>
        <w:t>）</w:t>
      </w:r>
      <w:r>
        <w:rPr>
          <w:rFonts w:ascii="Times New Roman" w:hAnsi="Times New Roman" w:cs="Times New Roman"/>
          <w:sz w:val="24"/>
          <w:szCs w:val="24"/>
          <w:lang w:eastAsia="zh-CN" w:bidi="ar-SA"/>
        </w:rPr>
        <w:t xml:space="preserve"> </w:t>
      </w:r>
      <w:r>
        <w:rPr>
          <w:rFonts w:hint="eastAsia" w:ascii="Times New Roman" w:hAnsi="Times New Roman" w:cs="Times New Roman"/>
          <w:spacing w:val="-3"/>
          <w:sz w:val="24"/>
          <w:szCs w:val="24"/>
          <w:lang w:eastAsia="zh-CN"/>
        </w:rPr>
        <w:t>QC080000-2022《</w:t>
      </w:r>
      <w:r>
        <w:rPr>
          <w:rFonts w:hint="eastAsia" w:ascii="Times New Roman" w:cs="Times New Roman" w:hAnsiTheme="minorEastAsia"/>
          <w:color w:val="000000"/>
          <w:sz w:val="24"/>
          <w:szCs w:val="24"/>
          <w:lang w:eastAsia="zh-CN"/>
        </w:rPr>
        <w:t>有害物质过程管理体系要求</w:t>
      </w:r>
      <w:r>
        <w:rPr>
          <w:rFonts w:hint="eastAsia" w:ascii="Times New Roman" w:hAnsi="Times New Roman" w:cs="Times New Roman"/>
          <w:spacing w:val="-3"/>
          <w:sz w:val="24"/>
          <w:szCs w:val="24"/>
          <w:lang w:eastAsia="zh-CN"/>
        </w:rPr>
        <w:t>》</w:t>
      </w:r>
    </w:p>
    <w:p w14:paraId="205545A0">
      <w:pPr>
        <w:rPr>
          <w:rFonts w:ascii="Times New Roman" w:hAnsi="Times New Roman" w:cs="Times New Roman"/>
          <w:sz w:val="24"/>
          <w:szCs w:val="24"/>
          <w:lang w:eastAsia="zh-CN" w:bidi="ar-SA"/>
        </w:rPr>
      </w:pPr>
      <w:r>
        <w:rPr>
          <w:rFonts w:hint="eastAsia" w:ascii="Times New Roman" w:hAnsi="Times New Roman" w:cs="Times New Roman"/>
          <w:sz w:val="24"/>
          <w:szCs w:val="24"/>
          <w:lang w:eastAsia="zh-CN" w:bidi="ar-SA"/>
        </w:rPr>
        <w:t>（</w:t>
      </w:r>
      <w:r>
        <w:rPr>
          <w:rFonts w:ascii="Times New Roman" w:hAnsi="Times New Roman" w:cs="Times New Roman"/>
          <w:sz w:val="24"/>
          <w:szCs w:val="24"/>
          <w:lang w:eastAsia="zh-CN" w:bidi="ar-SA"/>
        </w:rPr>
        <w:t>2</w:t>
      </w:r>
      <w:r>
        <w:rPr>
          <w:rFonts w:hint="eastAsia" w:ascii="Times New Roman" w:hAnsi="Times New Roman" w:cs="Times New Roman"/>
          <w:sz w:val="24"/>
          <w:szCs w:val="24"/>
          <w:lang w:eastAsia="zh-CN" w:bidi="ar-SA"/>
        </w:rPr>
        <w:t>）</w:t>
      </w:r>
      <w:r>
        <w:rPr>
          <w:rFonts w:ascii="Times New Roman" w:hAnsi="Times New Roman" w:cs="Times New Roman"/>
          <w:sz w:val="24"/>
          <w:szCs w:val="24"/>
          <w:lang w:eastAsia="zh-CN" w:bidi="ar-SA"/>
        </w:rPr>
        <w:t xml:space="preserve"> GB/T27021.1-2017</w:t>
      </w:r>
      <w:r>
        <w:rPr>
          <w:rFonts w:ascii="Times New Roman" w:cs="Times New Roman" w:hAnsiTheme="minorEastAsia"/>
          <w:sz w:val="24"/>
          <w:szCs w:val="24"/>
          <w:lang w:eastAsia="zh-CN" w:bidi="ar-SA"/>
        </w:rPr>
        <w:t>合格评定</w:t>
      </w:r>
      <w:r>
        <w:rPr>
          <w:rFonts w:ascii="Times New Roman" w:hAnsi="Times New Roman" w:cs="Times New Roman"/>
          <w:sz w:val="24"/>
          <w:szCs w:val="24"/>
          <w:lang w:eastAsia="zh-CN" w:bidi="ar-SA"/>
        </w:rPr>
        <w:tab/>
      </w:r>
      <w:r>
        <w:rPr>
          <w:rFonts w:ascii="Times New Roman" w:cs="Times New Roman" w:hAnsiTheme="minorEastAsia"/>
          <w:sz w:val="24"/>
          <w:szCs w:val="24"/>
          <w:lang w:eastAsia="zh-CN" w:bidi="ar-SA"/>
        </w:rPr>
        <w:t>管理体系审核认证机构要求</w:t>
      </w:r>
      <w:r>
        <w:rPr>
          <w:rFonts w:ascii="Times New Roman" w:hAnsi="Times New Roman" w:cs="Times New Roman"/>
          <w:sz w:val="24"/>
          <w:szCs w:val="24"/>
          <w:lang w:eastAsia="zh-CN" w:bidi="ar-SA"/>
        </w:rPr>
        <w:t xml:space="preserve"> </w:t>
      </w:r>
      <w:r>
        <w:rPr>
          <w:rFonts w:ascii="Times New Roman" w:cs="Times New Roman" w:hAnsiTheme="minorEastAsia"/>
          <w:sz w:val="24"/>
          <w:szCs w:val="24"/>
          <w:lang w:eastAsia="zh-CN" w:bidi="ar-SA"/>
        </w:rPr>
        <w:t>第</w:t>
      </w:r>
      <w:r>
        <w:rPr>
          <w:rFonts w:ascii="Times New Roman" w:hAnsi="Times New Roman" w:cs="Times New Roman"/>
          <w:sz w:val="24"/>
          <w:szCs w:val="24"/>
          <w:lang w:eastAsia="zh-CN" w:bidi="ar-SA"/>
        </w:rPr>
        <w:t>1</w:t>
      </w:r>
      <w:r>
        <w:rPr>
          <w:rFonts w:ascii="Times New Roman" w:cs="Times New Roman" w:hAnsiTheme="minorEastAsia"/>
          <w:sz w:val="24"/>
          <w:szCs w:val="24"/>
          <w:lang w:eastAsia="zh-CN" w:bidi="ar-SA"/>
        </w:rPr>
        <w:t>部分：要求</w:t>
      </w:r>
    </w:p>
    <w:p w14:paraId="4477DFF0">
      <w:pPr>
        <w:rPr>
          <w:rFonts w:ascii="Times New Roman" w:hAnsi="Times New Roman" w:cs="Times New Roman"/>
          <w:sz w:val="24"/>
          <w:szCs w:val="24"/>
          <w:lang w:eastAsia="zh-CN" w:bidi="ar-SA"/>
        </w:rPr>
      </w:pPr>
      <w:r>
        <w:rPr>
          <w:rFonts w:hint="eastAsia" w:ascii="Times New Roman" w:hAnsi="Times New Roman" w:cs="Times New Roman"/>
          <w:sz w:val="24"/>
          <w:szCs w:val="24"/>
          <w:lang w:eastAsia="zh-CN" w:bidi="ar-SA"/>
        </w:rPr>
        <w:t>（</w:t>
      </w:r>
      <w:r>
        <w:rPr>
          <w:rFonts w:ascii="Times New Roman" w:hAnsi="Times New Roman" w:cs="Times New Roman"/>
          <w:sz w:val="24"/>
          <w:szCs w:val="24"/>
          <w:lang w:eastAsia="zh-CN" w:bidi="ar-SA"/>
        </w:rPr>
        <w:t>3</w:t>
      </w:r>
      <w:r>
        <w:rPr>
          <w:rFonts w:hint="eastAsia" w:ascii="Times New Roman" w:hAnsi="Times New Roman" w:cs="Times New Roman"/>
          <w:sz w:val="24"/>
          <w:szCs w:val="24"/>
          <w:lang w:eastAsia="zh-CN" w:bidi="ar-SA"/>
        </w:rPr>
        <w:t xml:space="preserve">） </w:t>
      </w:r>
      <w:r>
        <w:rPr>
          <w:rFonts w:ascii="Times New Roman" w:cs="Times New Roman" w:hAnsiTheme="minorEastAsia"/>
          <w:sz w:val="24"/>
          <w:szCs w:val="24"/>
          <w:lang w:eastAsia="zh-CN" w:bidi="ar-SA"/>
        </w:rPr>
        <w:t>国家认监委关于进一步规范管理体系认证活动切实提升认证有效性的通知</w:t>
      </w:r>
      <w:r>
        <w:rPr>
          <w:rFonts w:hint="eastAsia" w:ascii="Times New Roman" w:cs="Times New Roman" w:hAnsiTheme="minorEastAsia"/>
          <w:sz w:val="24"/>
          <w:szCs w:val="24"/>
          <w:lang w:eastAsia="zh-CN" w:bidi="ar-SA"/>
        </w:rPr>
        <w:t xml:space="preserve"> </w:t>
      </w:r>
      <w:r>
        <w:rPr>
          <w:rFonts w:ascii="Times New Roman" w:cs="Times New Roman" w:hAnsiTheme="minorEastAsia"/>
          <w:sz w:val="24"/>
          <w:szCs w:val="24"/>
          <w:lang w:eastAsia="zh-CN" w:bidi="ar-SA"/>
        </w:rPr>
        <w:t>国认监发〔</w:t>
      </w:r>
      <w:r>
        <w:rPr>
          <w:rFonts w:ascii="Times New Roman" w:hAnsi="Times New Roman" w:cs="Times New Roman"/>
          <w:sz w:val="24"/>
          <w:szCs w:val="24"/>
          <w:lang w:eastAsia="zh-CN" w:bidi="ar-SA"/>
        </w:rPr>
        <w:t>2025</w:t>
      </w:r>
      <w:r>
        <w:rPr>
          <w:rFonts w:ascii="Times New Roman" w:cs="Times New Roman" w:hAnsiTheme="minorEastAsia"/>
          <w:sz w:val="24"/>
          <w:szCs w:val="24"/>
          <w:lang w:eastAsia="zh-CN" w:bidi="ar-SA"/>
        </w:rPr>
        <w:t>〕</w:t>
      </w:r>
      <w:r>
        <w:rPr>
          <w:rFonts w:ascii="Times New Roman" w:hAnsi="Times New Roman" w:cs="Times New Roman"/>
          <w:sz w:val="24"/>
          <w:szCs w:val="24"/>
          <w:lang w:eastAsia="zh-CN" w:bidi="ar-SA"/>
        </w:rPr>
        <w:t>9</w:t>
      </w:r>
      <w:r>
        <w:rPr>
          <w:rFonts w:ascii="Times New Roman" w:cs="Times New Roman" w:hAnsiTheme="minorEastAsia"/>
          <w:sz w:val="24"/>
          <w:szCs w:val="24"/>
          <w:lang w:eastAsia="zh-CN" w:bidi="ar-SA"/>
        </w:rPr>
        <w:t>号</w:t>
      </w:r>
    </w:p>
    <w:p w14:paraId="0C3EDAF4">
      <w:pPr>
        <w:rPr>
          <w:rFonts w:ascii="Times New Roman" w:cs="Times New Roman" w:hAnsiTheme="minorEastAsia"/>
          <w:sz w:val="24"/>
          <w:szCs w:val="24"/>
          <w:lang w:eastAsia="zh-CN" w:bidi="ar-SA"/>
        </w:rPr>
      </w:pPr>
      <w:r>
        <w:rPr>
          <w:rFonts w:hint="eastAsia" w:ascii="Times New Roman" w:hAnsi="Times New Roman" w:cs="Times New Roman"/>
          <w:sz w:val="24"/>
          <w:szCs w:val="24"/>
          <w:lang w:eastAsia="zh-CN" w:bidi="ar-SA"/>
        </w:rPr>
        <w:t>（</w:t>
      </w:r>
      <w:r>
        <w:rPr>
          <w:rFonts w:ascii="Times New Roman" w:hAnsi="Times New Roman" w:cs="Times New Roman"/>
          <w:sz w:val="24"/>
          <w:szCs w:val="24"/>
          <w:lang w:eastAsia="zh-CN" w:bidi="ar-SA"/>
        </w:rPr>
        <w:t>4</w:t>
      </w:r>
      <w:r>
        <w:rPr>
          <w:rFonts w:hint="eastAsia" w:ascii="Times New Roman" w:hAnsi="Times New Roman" w:cs="Times New Roman"/>
          <w:sz w:val="24"/>
          <w:szCs w:val="24"/>
          <w:lang w:eastAsia="zh-CN" w:bidi="ar-SA"/>
        </w:rPr>
        <w:t xml:space="preserve">） </w:t>
      </w:r>
      <w:r>
        <w:rPr>
          <w:rFonts w:ascii="Times New Roman" w:cs="Times New Roman" w:hAnsiTheme="minorEastAsia"/>
          <w:sz w:val="24"/>
          <w:szCs w:val="24"/>
          <w:lang w:eastAsia="zh-CN" w:bidi="ar-SA"/>
        </w:rPr>
        <w:t>质量管理体系认证规则</w:t>
      </w:r>
      <w:r>
        <w:rPr>
          <w:rFonts w:hint="eastAsia" w:ascii="Times New Roman" w:cs="Times New Roman" w:hAnsiTheme="minorEastAsia"/>
          <w:sz w:val="24"/>
          <w:szCs w:val="24"/>
          <w:lang w:eastAsia="zh-CN" w:bidi="ar-SA"/>
        </w:rPr>
        <w:t xml:space="preserve"> </w:t>
      </w:r>
      <w:r>
        <w:rPr>
          <w:rFonts w:hint="eastAsia" w:ascii="Times New Roman" w:hAnsi="Times New Roman" w:cs="Times New Roman"/>
          <w:sz w:val="24"/>
          <w:szCs w:val="24"/>
          <w:lang w:eastAsia="zh-CN" w:bidi="ar-SA"/>
        </w:rPr>
        <w:t>（</w:t>
      </w:r>
      <w:r>
        <w:rPr>
          <w:rFonts w:ascii="Times New Roman" w:hAnsi="Times New Roman" w:cs="Times New Roman"/>
          <w:sz w:val="24"/>
          <w:szCs w:val="24"/>
          <w:lang w:eastAsia="zh-CN" w:bidi="ar-SA"/>
        </w:rPr>
        <w:t>CNCA-QMS-01:2025</w:t>
      </w:r>
      <w:r>
        <w:rPr>
          <w:rFonts w:hint="eastAsia" w:ascii="Times New Roman" w:hAnsi="Times New Roman" w:cs="Times New Roman"/>
          <w:sz w:val="24"/>
          <w:szCs w:val="24"/>
          <w:lang w:eastAsia="zh-CN" w:bidi="ar-SA"/>
        </w:rPr>
        <w:t>）</w:t>
      </w:r>
    </w:p>
    <w:p w14:paraId="284EEF1F">
      <w:pPr>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w:t>
      </w:r>
      <w:r>
        <w:rPr>
          <w:rFonts w:ascii="Times New Roman" w:cs="Times New Roman" w:hAnsiTheme="minorEastAsia"/>
          <w:sz w:val="24"/>
          <w:szCs w:val="24"/>
          <w:lang w:eastAsia="zh-CN" w:bidi="ar-SA"/>
        </w:rPr>
        <w:t>5</w:t>
      </w:r>
      <w:r>
        <w:rPr>
          <w:rFonts w:hint="eastAsia" w:ascii="Times New Roman" w:cs="Times New Roman" w:hAnsiTheme="minorEastAsia"/>
          <w:sz w:val="24"/>
          <w:szCs w:val="24"/>
          <w:lang w:eastAsia="zh-CN" w:bidi="ar-SA"/>
        </w:rPr>
        <w:t>）</w:t>
      </w:r>
      <w:r>
        <w:rPr>
          <w:rFonts w:ascii="Times New Roman" w:cs="Times New Roman" w:hAnsiTheme="minorEastAsia"/>
          <w:sz w:val="24"/>
          <w:szCs w:val="24"/>
          <w:lang w:eastAsia="zh-CN" w:bidi="ar-SA"/>
        </w:rPr>
        <w:t xml:space="preserve"> </w:t>
      </w:r>
      <w:r>
        <w:rPr>
          <w:rFonts w:hint="eastAsia" w:ascii="Times New Roman" w:cs="Times New Roman" w:hAnsiTheme="minorEastAsia"/>
          <w:sz w:val="24"/>
          <w:szCs w:val="24"/>
          <w:lang w:eastAsia="zh-CN" w:bidi="ar-SA"/>
        </w:rPr>
        <w:t>S&amp;P-CX-13-2024 《申诉投诉管理程序》</w:t>
      </w:r>
    </w:p>
    <w:p w14:paraId="1BFB371A">
      <w:pPr>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w:t>
      </w:r>
      <w:r>
        <w:rPr>
          <w:rFonts w:ascii="Times New Roman" w:cs="Times New Roman" w:hAnsiTheme="minorEastAsia"/>
          <w:sz w:val="24"/>
          <w:szCs w:val="24"/>
          <w:lang w:eastAsia="zh-CN" w:bidi="ar-SA"/>
        </w:rPr>
        <w:t>6</w:t>
      </w:r>
      <w:r>
        <w:rPr>
          <w:rFonts w:hint="eastAsia" w:ascii="Times New Roman" w:cs="Times New Roman" w:hAnsiTheme="minorEastAsia"/>
          <w:sz w:val="24"/>
          <w:szCs w:val="24"/>
          <w:lang w:eastAsia="zh-CN" w:bidi="ar-SA"/>
        </w:rPr>
        <w:t>）</w:t>
      </w:r>
      <w:r>
        <w:rPr>
          <w:rFonts w:ascii="Times New Roman" w:cs="Times New Roman" w:hAnsiTheme="minorEastAsia"/>
          <w:sz w:val="24"/>
          <w:szCs w:val="24"/>
          <w:lang w:eastAsia="zh-CN" w:bidi="ar-SA"/>
        </w:rPr>
        <w:t xml:space="preserve"> </w:t>
      </w:r>
      <w:r>
        <w:rPr>
          <w:rFonts w:hint="eastAsia" w:ascii="Times New Roman" w:cs="Times New Roman" w:hAnsiTheme="minorEastAsia"/>
          <w:sz w:val="24"/>
          <w:szCs w:val="24"/>
          <w:lang w:eastAsia="zh-CN" w:bidi="ar-SA"/>
        </w:rPr>
        <w:t xml:space="preserve">S&amp;P-XZ-30-2024 《管理体系认证证书和认证标志、认可标识使用规则》 </w:t>
      </w:r>
    </w:p>
    <w:p w14:paraId="1837BC4A">
      <w:pPr>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（7） S&amp;P</w:t>
      </w:r>
      <w:r>
        <w:rPr>
          <w:rFonts w:ascii="Times New Roman" w:cs="Times New Roman" w:hAnsiTheme="minorEastAsia"/>
          <w:sz w:val="24"/>
          <w:szCs w:val="24"/>
          <w:lang w:eastAsia="zh-CN" w:bidi="ar-SA"/>
        </w:rPr>
        <w:t>-XZ-</w:t>
      </w:r>
      <w:r>
        <w:rPr>
          <w:rFonts w:hint="eastAsia" w:ascii="Times New Roman" w:cs="Times New Roman" w:hAnsiTheme="minorEastAsia"/>
          <w:sz w:val="24"/>
          <w:szCs w:val="24"/>
          <w:lang w:eastAsia="zh-CN" w:bidi="ar-SA"/>
        </w:rPr>
        <w:t>18</w:t>
      </w:r>
      <w:r>
        <w:rPr>
          <w:rFonts w:ascii="Times New Roman" w:cs="Times New Roman" w:hAnsiTheme="minorEastAsia"/>
          <w:sz w:val="24"/>
          <w:szCs w:val="24"/>
          <w:lang w:eastAsia="zh-CN" w:bidi="ar-SA"/>
        </w:rPr>
        <w:t>-202</w:t>
      </w:r>
      <w:r>
        <w:rPr>
          <w:rFonts w:hint="eastAsia" w:ascii="Times New Roman" w:cs="Times New Roman" w:hAnsiTheme="minorEastAsia"/>
          <w:sz w:val="24"/>
          <w:szCs w:val="24"/>
          <w:lang w:eastAsia="zh-CN" w:bidi="ar-SA"/>
        </w:rPr>
        <w:t>4 《信息通报管理规定》</w:t>
      </w:r>
    </w:p>
    <w:p w14:paraId="0211DF24">
      <w:pPr>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（8） S&amp;P</w:t>
      </w:r>
      <w:r>
        <w:rPr>
          <w:rFonts w:ascii="Times New Roman" w:cs="Times New Roman" w:hAnsiTheme="minorEastAsia"/>
          <w:sz w:val="24"/>
          <w:szCs w:val="24"/>
          <w:lang w:eastAsia="zh-CN" w:bidi="ar-SA"/>
        </w:rPr>
        <w:t>-XZ-</w:t>
      </w:r>
      <w:r>
        <w:rPr>
          <w:rFonts w:hint="eastAsia" w:ascii="Times New Roman" w:cs="Times New Roman" w:hAnsiTheme="minorEastAsia"/>
          <w:sz w:val="24"/>
          <w:szCs w:val="24"/>
          <w:lang w:eastAsia="zh-CN" w:bidi="ar-SA"/>
        </w:rPr>
        <w:t>21</w:t>
      </w:r>
      <w:r>
        <w:rPr>
          <w:rFonts w:ascii="Times New Roman" w:cs="Times New Roman" w:hAnsiTheme="minorEastAsia"/>
          <w:sz w:val="24"/>
          <w:szCs w:val="24"/>
          <w:lang w:eastAsia="zh-CN" w:bidi="ar-SA"/>
        </w:rPr>
        <w:t>-202</w:t>
      </w:r>
      <w:r>
        <w:rPr>
          <w:rFonts w:hint="eastAsia" w:ascii="Times New Roman" w:cs="Times New Roman" w:hAnsiTheme="minorEastAsia"/>
          <w:sz w:val="24"/>
          <w:szCs w:val="24"/>
          <w:lang w:eastAsia="zh-CN" w:bidi="ar-SA"/>
        </w:rPr>
        <w:t>4 《认证档案管理规定》</w:t>
      </w:r>
    </w:p>
    <w:p w14:paraId="43E07BAF">
      <w:pPr>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（9）</w:t>
      </w:r>
      <w:r>
        <w:rPr>
          <w:rFonts w:ascii="Times New Roman" w:cs="Times New Roman" w:hAnsiTheme="minorEastAsia"/>
          <w:sz w:val="24"/>
          <w:szCs w:val="24"/>
          <w:lang w:eastAsia="zh-CN" w:bidi="ar-SA"/>
        </w:rPr>
        <w:t xml:space="preserve"> </w:t>
      </w:r>
      <w:r>
        <w:rPr>
          <w:rFonts w:ascii="Times New Roman" w:hAnsi="Times New Roman" w:cs="Times New Roman"/>
          <w:sz w:val="24"/>
          <w:szCs w:val="24"/>
          <w:lang w:eastAsia="zh-CN" w:bidi="ar-SA"/>
        </w:rPr>
        <w:t>S&amp;P-XZ-37-2024</w:t>
      </w:r>
      <w:r>
        <w:rPr>
          <w:rFonts w:hint="eastAsia" w:ascii="Times New Roman" w:cs="Times New Roman" w:hAnsiTheme="minorEastAsia"/>
          <w:sz w:val="24"/>
          <w:szCs w:val="24"/>
          <w:lang w:eastAsia="zh-CN" w:bidi="ar-SA"/>
        </w:rPr>
        <w:t xml:space="preserve"> 《</w:t>
      </w:r>
      <w:r>
        <w:rPr>
          <w:rFonts w:ascii="Times New Roman" w:cs="Times New Roman" w:hAnsiTheme="minorEastAsia"/>
          <w:sz w:val="24"/>
          <w:szCs w:val="24"/>
          <w:lang w:eastAsia="zh-CN" w:bidi="ar-SA"/>
        </w:rPr>
        <w:t>对授予、保持、扩大、更新、缩小、暂停/恢复及撤销认证条件的规定</w:t>
      </w:r>
      <w:r>
        <w:rPr>
          <w:rFonts w:hint="eastAsia" w:ascii="Times New Roman" w:cs="Times New Roman" w:hAnsiTheme="minorEastAsia"/>
          <w:sz w:val="24"/>
          <w:szCs w:val="24"/>
          <w:lang w:eastAsia="zh-CN" w:bidi="ar-SA"/>
        </w:rPr>
        <w:t>》</w:t>
      </w:r>
    </w:p>
    <w:p w14:paraId="2793BC5D">
      <w:pPr>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（10）</w:t>
      </w:r>
      <w:r>
        <w:rPr>
          <w:rFonts w:ascii="Times New Roman" w:cs="Times New Roman" w:hAnsiTheme="minorEastAsia"/>
          <w:sz w:val="24"/>
          <w:szCs w:val="24"/>
          <w:lang w:eastAsia="zh-CN" w:bidi="ar-SA"/>
        </w:rPr>
        <w:t xml:space="preserve"> S&amp;P公开文件</w:t>
      </w:r>
      <w:r>
        <w:rPr>
          <w:rFonts w:hint="eastAsia" w:ascii="Times New Roman" w:cs="Times New Roman" w:hAnsiTheme="minorEastAsia"/>
          <w:sz w:val="24"/>
          <w:szCs w:val="24"/>
          <w:lang w:eastAsia="zh-CN" w:bidi="ar-SA"/>
        </w:rPr>
        <w:t xml:space="preserve"> 《</w:t>
      </w:r>
      <w:r>
        <w:rPr>
          <w:rFonts w:ascii="Times New Roman" w:cs="Times New Roman" w:hAnsiTheme="minorEastAsia"/>
          <w:sz w:val="24"/>
          <w:szCs w:val="24"/>
          <w:lang w:eastAsia="zh-CN" w:bidi="ar-SA"/>
        </w:rPr>
        <w:t>认证收费标准</w:t>
      </w:r>
      <w:r>
        <w:rPr>
          <w:rFonts w:hint="eastAsia" w:ascii="Times New Roman" w:cs="Times New Roman" w:hAnsiTheme="minorEastAsia"/>
          <w:sz w:val="24"/>
          <w:szCs w:val="24"/>
          <w:lang w:eastAsia="zh-CN" w:bidi="ar-SA"/>
        </w:rPr>
        <w:t>》</w:t>
      </w:r>
    </w:p>
    <w:p w14:paraId="2AA5F84D">
      <w:pPr>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 xml:space="preserve">（11） </w:t>
      </w:r>
      <w:r>
        <w:rPr>
          <w:rFonts w:ascii="Times New Roman" w:cs="Times New Roman" w:hAnsiTheme="minorEastAsia"/>
          <w:sz w:val="24"/>
          <w:szCs w:val="24"/>
          <w:lang w:eastAsia="zh-CN" w:bidi="ar-SA"/>
        </w:rPr>
        <w:t>S&amp;P公开文件</w:t>
      </w:r>
      <w:r>
        <w:rPr>
          <w:rFonts w:hint="eastAsia" w:ascii="Times New Roman" w:cs="Times New Roman" w:hAnsiTheme="minorEastAsia"/>
          <w:sz w:val="24"/>
          <w:szCs w:val="24"/>
          <w:lang w:eastAsia="zh-CN" w:bidi="ar-SA"/>
        </w:rPr>
        <w:t xml:space="preserve"> 《</w:t>
      </w:r>
      <w:r>
        <w:rPr>
          <w:rFonts w:ascii="Times New Roman" w:cs="Times New Roman" w:hAnsiTheme="minorEastAsia"/>
          <w:sz w:val="24"/>
          <w:szCs w:val="24"/>
          <w:lang w:eastAsia="zh-CN" w:bidi="ar-SA"/>
        </w:rPr>
        <w:t>认证工作程序图</w:t>
      </w:r>
      <w:r>
        <w:rPr>
          <w:rFonts w:hint="eastAsia" w:ascii="Times New Roman" w:cs="Times New Roman" w:hAnsiTheme="minorEastAsia"/>
          <w:sz w:val="24"/>
          <w:szCs w:val="24"/>
          <w:lang w:eastAsia="zh-CN" w:bidi="ar-SA"/>
        </w:rPr>
        <w:t>》</w:t>
      </w:r>
      <w:r>
        <w:rPr>
          <w:rFonts w:ascii="Times New Roman" w:cs="Times New Roman" w:hAnsiTheme="minorEastAsia"/>
          <w:sz w:val="24"/>
          <w:szCs w:val="24"/>
          <w:lang w:eastAsia="zh-CN" w:bidi="ar-SA"/>
        </w:rPr>
        <w:t xml:space="preserve"> </w:t>
      </w:r>
    </w:p>
    <w:p w14:paraId="12550680">
      <w:pPr>
        <w:rPr>
          <w:rFonts w:ascii="Times New Roman" w:cs="Times New Roman" w:hAnsiTheme="minorEastAsia"/>
          <w:sz w:val="24"/>
          <w:szCs w:val="24"/>
          <w:lang w:eastAsia="zh-CN" w:bidi="ar-SA"/>
        </w:rPr>
      </w:pPr>
      <w:r>
        <w:rPr>
          <w:rFonts w:ascii="Times New Roman" w:hAnsi="Times New Roman" w:cs="Times New Roman"/>
          <w:sz w:val="24"/>
          <w:szCs w:val="24"/>
          <w:lang w:eastAsia="zh-CN" w:bidi="ar-SA"/>
        </w:rPr>
        <w:t>12.2</w:t>
      </w:r>
      <w:r>
        <w:rPr>
          <w:rFonts w:ascii="Times New Roman" w:cs="Times New Roman" w:hAnsiTheme="minorEastAsia"/>
          <w:sz w:val="24"/>
          <w:szCs w:val="24"/>
          <w:lang w:eastAsia="zh-CN" w:bidi="ar-SA"/>
        </w:rPr>
        <w:t>本规则由</w:t>
      </w:r>
      <w:r>
        <w:rPr>
          <w:rFonts w:ascii="Times New Roman" w:hAnsi="Times New Roman" w:cs="Times New Roman"/>
          <w:sz w:val="24"/>
          <w:szCs w:val="24"/>
          <w:lang w:eastAsia="zh-CN" w:bidi="ar-SA"/>
        </w:rPr>
        <w:t>S&amp;P</w:t>
      </w:r>
      <w:r>
        <w:rPr>
          <w:rFonts w:ascii="Times New Roman" w:cs="Times New Roman" w:hAnsiTheme="minorEastAsia"/>
          <w:sz w:val="24"/>
          <w:szCs w:val="24"/>
          <w:lang w:eastAsia="zh-CN" w:bidi="ar-SA"/>
        </w:rPr>
        <w:t>负责解释。</w:t>
      </w:r>
    </w:p>
    <w:p w14:paraId="1ED2DE05">
      <w:pPr>
        <w:spacing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br w:type="page"/>
      </w:r>
    </w:p>
    <w:p w14:paraId="692A2FA6">
      <w:pPr>
        <w:pStyle w:val="2"/>
        <w:rPr>
          <w:lang w:eastAsia="zh-CN" w:bidi="ar-SA"/>
        </w:rPr>
      </w:pPr>
      <w:bookmarkStart w:id="26" w:name="_Toc227742112"/>
      <w:r>
        <w:rPr>
          <w:rFonts w:hint="eastAsia"/>
          <w:lang w:eastAsia="zh-CN" w:bidi="ar-SA"/>
        </w:rPr>
        <w:t>附录1  认证业务范围分类</w:t>
      </w:r>
      <w:bookmarkEnd w:id="26"/>
    </w:p>
    <w:p w14:paraId="7D89A625">
      <w:pPr>
        <w:jc w:val="center"/>
        <w:rPr>
          <w:rFonts w:ascii="Times New Roman" w:cs="Times New Roman" w:hAnsiTheme="minorEastAsia"/>
          <w:b/>
          <w:sz w:val="36"/>
          <w:szCs w:val="36"/>
          <w:lang w:eastAsia="zh-CN" w:bidi="ar-SA"/>
        </w:rPr>
      </w:pPr>
      <w:r>
        <w:rPr>
          <w:rFonts w:hint="eastAsia" w:ascii="Times New Roman" w:cs="Times New Roman" w:hAnsiTheme="minorEastAsia"/>
          <w:b/>
          <w:sz w:val="36"/>
          <w:szCs w:val="36"/>
          <w:lang w:eastAsia="zh-CN" w:bidi="ar-SA"/>
        </w:rPr>
        <w:t>认证业务范围分类</w:t>
      </w:r>
    </w:p>
    <w:tbl>
      <w:tblPr>
        <w:tblStyle w:val="33"/>
        <w:tblW w:w="9889"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959"/>
        <w:gridCol w:w="4111"/>
        <w:gridCol w:w="882"/>
        <w:gridCol w:w="3937"/>
      </w:tblGrid>
      <w:tr w14:paraId="57EF74A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tcPr>
          <w:p w14:paraId="1BDC78FA">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编号</w:t>
            </w:r>
          </w:p>
        </w:tc>
        <w:tc>
          <w:tcPr>
            <w:tcW w:w="4111" w:type="dxa"/>
          </w:tcPr>
          <w:p w14:paraId="739C6E34">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认证业务范围名称</w:t>
            </w:r>
          </w:p>
        </w:tc>
        <w:tc>
          <w:tcPr>
            <w:tcW w:w="882" w:type="dxa"/>
          </w:tcPr>
          <w:p w14:paraId="5431B892">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编号</w:t>
            </w:r>
          </w:p>
        </w:tc>
        <w:tc>
          <w:tcPr>
            <w:tcW w:w="3937" w:type="dxa"/>
          </w:tcPr>
          <w:p w14:paraId="13C507E6">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认证业务范围名称</w:t>
            </w:r>
          </w:p>
        </w:tc>
      </w:tr>
      <w:tr w14:paraId="7A0EA99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tcPr>
          <w:p w14:paraId="34A92F32">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01</w:t>
            </w:r>
          </w:p>
        </w:tc>
        <w:tc>
          <w:tcPr>
            <w:tcW w:w="4111" w:type="dxa"/>
          </w:tcPr>
          <w:p w14:paraId="0ED7198D">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农业、林业和渔业</w:t>
            </w:r>
          </w:p>
        </w:tc>
        <w:tc>
          <w:tcPr>
            <w:tcW w:w="882" w:type="dxa"/>
          </w:tcPr>
          <w:p w14:paraId="3B6F3482">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21</w:t>
            </w:r>
          </w:p>
        </w:tc>
        <w:tc>
          <w:tcPr>
            <w:tcW w:w="3937" w:type="dxa"/>
          </w:tcPr>
          <w:p w14:paraId="3CE56CFB">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航空航天</w:t>
            </w:r>
          </w:p>
        </w:tc>
      </w:tr>
      <w:tr w14:paraId="4C99A6C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tcPr>
          <w:p w14:paraId="0FCA0A37">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02</w:t>
            </w:r>
          </w:p>
        </w:tc>
        <w:tc>
          <w:tcPr>
            <w:tcW w:w="4111" w:type="dxa"/>
          </w:tcPr>
          <w:p w14:paraId="1FC0BEEE">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采矿业和采石业</w:t>
            </w:r>
          </w:p>
        </w:tc>
        <w:tc>
          <w:tcPr>
            <w:tcW w:w="882" w:type="dxa"/>
          </w:tcPr>
          <w:p w14:paraId="2C17AC72">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22</w:t>
            </w:r>
          </w:p>
        </w:tc>
        <w:tc>
          <w:tcPr>
            <w:tcW w:w="3937" w:type="dxa"/>
          </w:tcPr>
          <w:p w14:paraId="23FFBF24">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其他运输设备</w:t>
            </w:r>
          </w:p>
        </w:tc>
      </w:tr>
      <w:tr w14:paraId="4D5CD5A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tcPr>
          <w:p w14:paraId="2AADDACE">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03</w:t>
            </w:r>
          </w:p>
        </w:tc>
        <w:tc>
          <w:tcPr>
            <w:tcW w:w="4111" w:type="dxa"/>
          </w:tcPr>
          <w:p w14:paraId="5C02F001">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食品、饮料和烟草</w:t>
            </w:r>
          </w:p>
        </w:tc>
        <w:tc>
          <w:tcPr>
            <w:tcW w:w="882" w:type="dxa"/>
          </w:tcPr>
          <w:p w14:paraId="6FA58657">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23</w:t>
            </w:r>
          </w:p>
        </w:tc>
        <w:tc>
          <w:tcPr>
            <w:tcW w:w="3937" w:type="dxa"/>
          </w:tcPr>
          <w:p w14:paraId="54690B7E">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其他未另分类制造业</w:t>
            </w:r>
          </w:p>
        </w:tc>
      </w:tr>
      <w:tr w14:paraId="2581F19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tcPr>
          <w:p w14:paraId="1B746AAE">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04</w:t>
            </w:r>
          </w:p>
        </w:tc>
        <w:tc>
          <w:tcPr>
            <w:tcW w:w="4111" w:type="dxa"/>
          </w:tcPr>
          <w:p w14:paraId="0AD0E76C">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纺织品及纺织制品</w:t>
            </w:r>
          </w:p>
        </w:tc>
        <w:tc>
          <w:tcPr>
            <w:tcW w:w="882" w:type="dxa"/>
          </w:tcPr>
          <w:p w14:paraId="31C18A38">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24</w:t>
            </w:r>
          </w:p>
        </w:tc>
        <w:tc>
          <w:tcPr>
            <w:tcW w:w="3937" w:type="dxa"/>
          </w:tcPr>
          <w:p w14:paraId="4F6CE702">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回收业</w:t>
            </w:r>
          </w:p>
        </w:tc>
      </w:tr>
      <w:tr w14:paraId="456C19B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tcPr>
          <w:p w14:paraId="126447CE">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05</w:t>
            </w:r>
          </w:p>
        </w:tc>
        <w:tc>
          <w:tcPr>
            <w:tcW w:w="4111" w:type="dxa"/>
          </w:tcPr>
          <w:p w14:paraId="167217BA">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皮革及皮革制品</w:t>
            </w:r>
          </w:p>
        </w:tc>
        <w:tc>
          <w:tcPr>
            <w:tcW w:w="882" w:type="dxa"/>
          </w:tcPr>
          <w:p w14:paraId="22D36E29">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25</w:t>
            </w:r>
          </w:p>
        </w:tc>
        <w:tc>
          <w:tcPr>
            <w:tcW w:w="3937" w:type="dxa"/>
          </w:tcPr>
          <w:p w14:paraId="14EF2316">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供电业</w:t>
            </w:r>
          </w:p>
        </w:tc>
      </w:tr>
      <w:tr w14:paraId="79A2609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tcPr>
          <w:p w14:paraId="3768DD1E">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06</w:t>
            </w:r>
          </w:p>
        </w:tc>
        <w:tc>
          <w:tcPr>
            <w:tcW w:w="4111" w:type="dxa"/>
          </w:tcPr>
          <w:p w14:paraId="0B48E79D">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木材及木制品</w:t>
            </w:r>
          </w:p>
        </w:tc>
        <w:tc>
          <w:tcPr>
            <w:tcW w:w="882" w:type="dxa"/>
          </w:tcPr>
          <w:p w14:paraId="22413770">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26</w:t>
            </w:r>
          </w:p>
        </w:tc>
        <w:tc>
          <w:tcPr>
            <w:tcW w:w="3937" w:type="dxa"/>
          </w:tcPr>
          <w:p w14:paraId="2AB77EB5">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供气业</w:t>
            </w:r>
          </w:p>
        </w:tc>
      </w:tr>
      <w:tr w14:paraId="1DBDEBB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tcPr>
          <w:p w14:paraId="3B029A86">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07</w:t>
            </w:r>
          </w:p>
        </w:tc>
        <w:tc>
          <w:tcPr>
            <w:tcW w:w="4111" w:type="dxa"/>
          </w:tcPr>
          <w:p w14:paraId="59045D54">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纸浆、纸及纸制品</w:t>
            </w:r>
          </w:p>
        </w:tc>
        <w:tc>
          <w:tcPr>
            <w:tcW w:w="882" w:type="dxa"/>
          </w:tcPr>
          <w:p w14:paraId="03EFED0D">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27</w:t>
            </w:r>
          </w:p>
        </w:tc>
        <w:tc>
          <w:tcPr>
            <w:tcW w:w="3937" w:type="dxa"/>
          </w:tcPr>
          <w:p w14:paraId="265C2F30">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供水业</w:t>
            </w:r>
          </w:p>
        </w:tc>
      </w:tr>
      <w:tr w14:paraId="09D5173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tcPr>
          <w:p w14:paraId="551FEA22">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08</w:t>
            </w:r>
          </w:p>
        </w:tc>
        <w:tc>
          <w:tcPr>
            <w:tcW w:w="4111" w:type="dxa"/>
          </w:tcPr>
          <w:p w14:paraId="2710BAB0">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出版业</w:t>
            </w:r>
          </w:p>
        </w:tc>
        <w:tc>
          <w:tcPr>
            <w:tcW w:w="882" w:type="dxa"/>
          </w:tcPr>
          <w:p w14:paraId="2B02599F">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28</w:t>
            </w:r>
          </w:p>
        </w:tc>
        <w:tc>
          <w:tcPr>
            <w:tcW w:w="3937" w:type="dxa"/>
          </w:tcPr>
          <w:p w14:paraId="5ECA3678">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建设业</w:t>
            </w:r>
          </w:p>
        </w:tc>
      </w:tr>
      <w:tr w14:paraId="0D88C16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vAlign w:val="center"/>
          </w:tcPr>
          <w:p w14:paraId="6D2AA673">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09</w:t>
            </w:r>
          </w:p>
        </w:tc>
        <w:tc>
          <w:tcPr>
            <w:tcW w:w="4111" w:type="dxa"/>
            <w:vAlign w:val="center"/>
          </w:tcPr>
          <w:p w14:paraId="67FD3C5C">
            <w:pPr>
              <w:widowControl w:val="0"/>
              <w:autoSpaceDE w:val="0"/>
              <w:autoSpaceDN w:val="0"/>
              <w:adjustRightInd w:val="0"/>
              <w:spacing w:after="0"/>
              <w:jc w:val="both"/>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印刷业</w:t>
            </w:r>
          </w:p>
        </w:tc>
        <w:tc>
          <w:tcPr>
            <w:tcW w:w="882" w:type="dxa"/>
            <w:vAlign w:val="center"/>
          </w:tcPr>
          <w:p w14:paraId="66F5DC7A">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29</w:t>
            </w:r>
          </w:p>
        </w:tc>
        <w:tc>
          <w:tcPr>
            <w:tcW w:w="3937" w:type="dxa"/>
          </w:tcPr>
          <w:p w14:paraId="1D30ACA0">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批发和零售业；汽车、摩托、个人及家庭用品修理业</w:t>
            </w:r>
          </w:p>
        </w:tc>
      </w:tr>
      <w:tr w14:paraId="58CD178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tcPr>
          <w:p w14:paraId="33CBEE56">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10</w:t>
            </w:r>
          </w:p>
        </w:tc>
        <w:tc>
          <w:tcPr>
            <w:tcW w:w="4111" w:type="dxa"/>
          </w:tcPr>
          <w:p w14:paraId="473DB1B8">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焦炭及精炼石油制品的制造</w:t>
            </w:r>
          </w:p>
        </w:tc>
        <w:tc>
          <w:tcPr>
            <w:tcW w:w="882" w:type="dxa"/>
          </w:tcPr>
          <w:p w14:paraId="1687416C">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30</w:t>
            </w:r>
          </w:p>
        </w:tc>
        <w:tc>
          <w:tcPr>
            <w:tcW w:w="3937" w:type="dxa"/>
          </w:tcPr>
          <w:p w14:paraId="1A44F483">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宾馆及餐馆</w:t>
            </w:r>
          </w:p>
        </w:tc>
      </w:tr>
      <w:tr w14:paraId="1D138DF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tcPr>
          <w:p w14:paraId="26B10666">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11</w:t>
            </w:r>
          </w:p>
        </w:tc>
        <w:tc>
          <w:tcPr>
            <w:tcW w:w="4111" w:type="dxa"/>
          </w:tcPr>
          <w:p w14:paraId="6FD1FB78">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核燃料</w:t>
            </w:r>
          </w:p>
        </w:tc>
        <w:tc>
          <w:tcPr>
            <w:tcW w:w="882" w:type="dxa"/>
          </w:tcPr>
          <w:p w14:paraId="47CF65C1">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31</w:t>
            </w:r>
          </w:p>
        </w:tc>
        <w:tc>
          <w:tcPr>
            <w:tcW w:w="3937" w:type="dxa"/>
          </w:tcPr>
          <w:p w14:paraId="6E6D1E31">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运输、仓储和通信业</w:t>
            </w:r>
          </w:p>
        </w:tc>
      </w:tr>
      <w:tr w14:paraId="0C43351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tcPr>
          <w:p w14:paraId="1A620001">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12</w:t>
            </w:r>
          </w:p>
        </w:tc>
        <w:tc>
          <w:tcPr>
            <w:tcW w:w="4111" w:type="dxa"/>
          </w:tcPr>
          <w:p w14:paraId="42672A2B">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化学品、化学制品及纤维</w:t>
            </w:r>
          </w:p>
        </w:tc>
        <w:tc>
          <w:tcPr>
            <w:tcW w:w="882" w:type="dxa"/>
          </w:tcPr>
          <w:p w14:paraId="17C2CE3F">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32</w:t>
            </w:r>
          </w:p>
        </w:tc>
        <w:tc>
          <w:tcPr>
            <w:tcW w:w="3937" w:type="dxa"/>
          </w:tcPr>
          <w:p w14:paraId="24D2C90E">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金融中介、房地产和租赁</w:t>
            </w:r>
          </w:p>
        </w:tc>
      </w:tr>
      <w:tr w14:paraId="13E8BBF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tcPr>
          <w:p w14:paraId="11DEBB8B">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13</w:t>
            </w:r>
          </w:p>
        </w:tc>
        <w:tc>
          <w:tcPr>
            <w:tcW w:w="4111" w:type="dxa"/>
          </w:tcPr>
          <w:p w14:paraId="0E475B27">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药品</w:t>
            </w:r>
          </w:p>
        </w:tc>
        <w:tc>
          <w:tcPr>
            <w:tcW w:w="882" w:type="dxa"/>
          </w:tcPr>
          <w:p w14:paraId="5C6D858D">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33</w:t>
            </w:r>
          </w:p>
        </w:tc>
        <w:tc>
          <w:tcPr>
            <w:tcW w:w="3937" w:type="dxa"/>
          </w:tcPr>
          <w:p w14:paraId="3C2807F6">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信息技术</w:t>
            </w:r>
          </w:p>
        </w:tc>
      </w:tr>
      <w:tr w14:paraId="0CB2D92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tcPr>
          <w:p w14:paraId="1C82AC4D">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14</w:t>
            </w:r>
          </w:p>
        </w:tc>
        <w:tc>
          <w:tcPr>
            <w:tcW w:w="4111" w:type="dxa"/>
          </w:tcPr>
          <w:p w14:paraId="2968974B">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橡胶和塑料制品</w:t>
            </w:r>
          </w:p>
        </w:tc>
        <w:tc>
          <w:tcPr>
            <w:tcW w:w="882" w:type="dxa"/>
          </w:tcPr>
          <w:p w14:paraId="4C9F337F">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34</w:t>
            </w:r>
          </w:p>
        </w:tc>
        <w:tc>
          <w:tcPr>
            <w:tcW w:w="3937" w:type="dxa"/>
          </w:tcPr>
          <w:p w14:paraId="7F74D46E">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工程服务</w:t>
            </w:r>
          </w:p>
        </w:tc>
      </w:tr>
      <w:tr w14:paraId="12A094A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tcPr>
          <w:p w14:paraId="25409DB6">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15</w:t>
            </w:r>
          </w:p>
        </w:tc>
        <w:tc>
          <w:tcPr>
            <w:tcW w:w="4111" w:type="dxa"/>
          </w:tcPr>
          <w:p w14:paraId="2346C582">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非金属矿物制品</w:t>
            </w:r>
          </w:p>
        </w:tc>
        <w:tc>
          <w:tcPr>
            <w:tcW w:w="882" w:type="dxa"/>
          </w:tcPr>
          <w:p w14:paraId="0E7F4974">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35</w:t>
            </w:r>
          </w:p>
        </w:tc>
        <w:tc>
          <w:tcPr>
            <w:tcW w:w="3937" w:type="dxa"/>
          </w:tcPr>
          <w:p w14:paraId="7123BECE">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其他服务</w:t>
            </w:r>
          </w:p>
        </w:tc>
      </w:tr>
      <w:tr w14:paraId="0C91031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tcPr>
          <w:p w14:paraId="1CB2304E">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16</w:t>
            </w:r>
          </w:p>
        </w:tc>
        <w:tc>
          <w:tcPr>
            <w:tcW w:w="4111" w:type="dxa"/>
          </w:tcPr>
          <w:p w14:paraId="59F3993E">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混凝土、水泥、石灰、石膏及其他</w:t>
            </w:r>
          </w:p>
        </w:tc>
        <w:tc>
          <w:tcPr>
            <w:tcW w:w="882" w:type="dxa"/>
          </w:tcPr>
          <w:p w14:paraId="14D637B8">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36</w:t>
            </w:r>
          </w:p>
        </w:tc>
        <w:tc>
          <w:tcPr>
            <w:tcW w:w="3937" w:type="dxa"/>
          </w:tcPr>
          <w:p w14:paraId="7ECEAE77">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公共行政管理</w:t>
            </w:r>
          </w:p>
        </w:tc>
      </w:tr>
      <w:tr w14:paraId="6D30EBA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tcPr>
          <w:p w14:paraId="229985F3">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17</w:t>
            </w:r>
          </w:p>
        </w:tc>
        <w:tc>
          <w:tcPr>
            <w:tcW w:w="4111" w:type="dxa"/>
          </w:tcPr>
          <w:p w14:paraId="125909E3">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基础金属及金属制品</w:t>
            </w:r>
          </w:p>
        </w:tc>
        <w:tc>
          <w:tcPr>
            <w:tcW w:w="882" w:type="dxa"/>
          </w:tcPr>
          <w:p w14:paraId="4237BD2E">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37</w:t>
            </w:r>
          </w:p>
        </w:tc>
        <w:tc>
          <w:tcPr>
            <w:tcW w:w="3937" w:type="dxa"/>
          </w:tcPr>
          <w:p w14:paraId="5B6C3D07">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教育</w:t>
            </w:r>
          </w:p>
        </w:tc>
      </w:tr>
      <w:tr w14:paraId="1FFB6AA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tcPr>
          <w:p w14:paraId="2CEB272B">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18</w:t>
            </w:r>
          </w:p>
        </w:tc>
        <w:tc>
          <w:tcPr>
            <w:tcW w:w="4111" w:type="dxa"/>
          </w:tcPr>
          <w:p w14:paraId="6DA817BC">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机械及设备</w:t>
            </w:r>
          </w:p>
        </w:tc>
        <w:tc>
          <w:tcPr>
            <w:tcW w:w="882" w:type="dxa"/>
          </w:tcPr>
          <w:p w14:paraId="58C9304B">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38</w:t>
            </w:r>
          </w:p>
        </w:tc>
        <w:tc>
          <w:tcPr>
            <w:tcW w:w="3937" w:type="dxa"/>
          </w:tcPr>
          <w:p w14:paraId="6EBE99EE">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健康和社会工作</w:t>
            </w:r>
          </w:p>
        </w:tc>
      </w:tr>
      <w:tr w14:paraId="308A56B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59" w:type="dxa"/>
          </w:tcPr>
          <w:p w14:paraId="5A3D1C2C">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19</w:t>
            </w:r>
          </w:p>
        </w:tc>
        <w:tc>
          <w:tcPr>
            <w:tcW w:w="4111" w:type="dxa"/>
          </w:tcPr>
          <w:p w14:paraId="5DC630CA">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电和光学设备</w:t>
            </w:r>
          </w:p>
        </w:tc>
        <w:tc>
          <w:tcPr>
            <w:tcW w:w="882" w:type="dxa"/>
          </w:tcPr>
          <w:p w14:paraId="346B9F47">
            <w:pPr>
              <w:widowControl w:val="0"/>
              <w:autoSpaceDE w:val="0"/>
              <w:autoSpaceDN w:val="0"/>
              <w:adjustRightInd w:val="0"/>
              <w:spacing w:after="0"/>
              <w:jc w:val="center"/>
              <w:rPr>
                <w:rFonts w:ascii="Times New Roman" w:hAnsi="Times New Roman" w:cs="Times New Roman"/>
                <w:sz w:val="24"/>
                <w:szCs w:val="24"/>
                <w:lang w:eastAsia="zh-CN" w:bidi="ar-SA"/>
              </w:rPr>
            </w:pPr>
            <w:r>
              <w:rPr>
                <w:rFonts w:ascii="Times New Roman" w:hAnsi="Times New Roman" w:cs="Times New Roman"/>
                <w:sz w:val="24"/>
                <w:szCs w:val="24"/>
                <w:lang w:eastAsia="zh-CN" w:bidi="ar-SA"/>
              </w:rPr>
              <w:t>39</w:t>
            </w:r>
          </w:p>
        </w:tc>
        <w:tc>
          <w:tcPr>
            <w:tcW w:w="3937" w:type="dxa"/>
          </w:tcPr>
          <w:p w14:paraId="7EC10914">
            <w:pPr>
              <w:widowControl w:val="0"/>
              <w:autoSpaceDE w:val="0"/>
              <w:autoSpaceDN w:val="0"/>
              <w:adjustRightInd w:val="0"/>
              <w:spacing w:after="0"/>
              <w:rPr>
                <w:rFonts w:ascii="Times New Roman" w:hAnsi="Times New Roman" w:cs="Times New Roman"/>
                <w:sz w:val="24"/>
                <w:szCs w:val="24"/>
                <w:lang w:eastAsia="zh-CN" w:bidi="ar-SA"/>
              </w:rPr>
            </w:pPr>
            <w:r>
              <w:rPr>
                <w:rFonts w:ascii="Times New Roman" w:cs="Times New Roman" w:hAnsiTheme="minorEastAsia"/>
                <w:sz w:val="24"/>
                <w:szCs w:val="24"/>
                <w:lang w:eastAsia="zh-CN" w:bidi="ar-SA"/>
              </w:rPr>
              <w:t>其他社会服务</w:t>
            </w:r>
          </w:p>
        </w:tc>
      </w:tr>
      <w:tr w14:paraId="539C84D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68" w:hRule="atLeast"/>
        </w:trPr>
        <w:tc>
          <w:tcPr>
            <w:tcW w:w="959" w:type="dxa"/>
          </w:tcPr>
          <w:p w14:paraId="77EE6F74">
            <w:pPr>
              <w:widowControl w:val="0"/>
              <w:autoSpaceDE w:val="0"/>
              <w:autoSpaceDN w:val="0"/>
              <w:adjustRightInd w:val="0"/>
              <w:spacing w:after="0"/>
              <w:jc w:val="center"/>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20</w:t>
            </w:r>
          </w:p>
        </w:tc>
        <w:tc>
          <w:tcPr>
            <w:tcW w:w="4111" w:type="dxa"/>
          </w:tcPr>
          <w:p w14:paraId="64D85AD2">
            <w:pPr>
              <w:widowControl w:val="0"/>
              <w:autoSpaceDE w:val="0"/>
              <w:autoSpaceDN w:val="0"/>
              <w:adjustRightInd w:val="0"/>
              <w:spacing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t>造船业</w:t>
            </w:r>
          </w:p>
        </w:tc>
        <w:tc>
          <w:tcPr>
            <w:tcW w:w="882" w:type="dxa"/>
          </w:tcPr>
          <w:p w14:paraId="03C6AAAE">
            <w:pPr>
              <w:widowControl w:val="0"/>
              <w:autoSpaceDE w:val="0"/>
              <w:autoSpaceDN w:val="0"/>
              <w:adjustRightInd w:val="0"/>
              <w:spacing w:after="0"/>
              <w:rPr>
                <w:rFonts w:ascii="Times New Roman" w:cs="Times New Roman" w:hAnsiTheme="minorEastAsia"/>
                <w:sz w:val="24"/>
                <w:szCs w:val="24"/>
                <w:lang w:eastAsia="zh-CN" w:bidi="ar-SA"/>
              </w:rPr>
            </w:pPr>
          </w:p>
        </w:tc>
        <w:tc>
          <w:tcPr>
            <w:tcW w:w="3937" w:type="dxa"/>
          </w:tcPr>
          <w:p w14:paraId="03180861">
            <w:pPr>
              <w:widowControl w:val="0"/>
              <w:autoSpaceDE w:val="0"/>
              <w:autoSpaceDN w:val="0"/>
              <w:adjustRightInd w:val="0"/>
              <w:spacing w:after="0"/>
              <w:rPr>
                <w:rFonts w:ascii="Times New Roman" w:cs="Times New Roman" w:hAnsiTheme="minorEastAsia"/>
                <w:sz w:val="24"/>
                <w:szCs w:val="24"/>
                <w:lang w:eastAsia="zh-CN" w:bidi="ar-SA"/>
              </w:rPr>
            </w:pPr>
          </w:p>
        </w:tc>
      </w:tr>
    </w:tbl>
    <w:p w14:paraId="6228F428">
      <w:pPr>
        <w:spacing w:after="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注：认证业务范围细分，按CNAS-TRC-012《管理体系认证机构认证业务范围分类指南》的要求进行细分。</w:t>
      </w:r>
      <w:r>
        <w:rPr>
          <w:rFonts w:ascii="Times New Roman" w:cs="Times New Roman" w:hAnsiTheme="minorEastAsia"/>
          <w:sz w:val="24"/>
          <w:szCs w:val="24"/>
          <w:lang w:eastAsia="zh-CN" w:bidi="ar-SA"/>
        </w:rPr>
        <w:br w:type="page"/>
      </w:r>
    </w:p>
    <w:p w14:paraId="16B4F8F9">
      <w:pPr>
        <w:pStyle w:val="2"/>
        <w:rPr>
          <w:lang w:eastAsia="zh-CN" w:bidi="ar-SA"/>
        </w:rPr>
      </w:pPr>
      <w:bookmarkStart w:id="27" w:name="_Toc227742113"/>
      <w:r>
        <w:rPr>
          <w:rFonts w:hint="eastAsia"/>
          <w:lang w:eastAsia="zh-CN" w:bidi="ar-SA"/>
        </w:rPr>
        <w:t>附录2 审核时间要求</w:t>
      </w:r>
      <w:bookmarkEnd w:id="27"/>
    </w:p>
    <w:p w14:paraId="3C42A915">
      <w:pPr>
        <w:spacing w:after="120"/>
        <w:jc w:val="center"/>
        <w:rPr>
          <w:rFonts w:ascii="Times New Roman" w:cs="Times New Roman"/>
          <w:b/>
          <w:sz w:val="36"/>
          <w:szCs w:val="36"/>
          <w:lang w:eastAsia="zh-CN" w:bidi="ar-SA"/>
        </w:rPr>
      </w:pPr>
      <w:r>
        <w:rPr>
          <w:rFonts w:hint="eastAsia" w:ascii="Times New Roman" w:cs="Times New Roman"/>
          <w:b/>
          <w:sz w:val="36"/>
          <w:szCs w:val="36"/>
          <w:lang w:eastAsia="zh-CN" w:bidi="ar-SA"/>
        </w:rPr>
        <w:t>审核时间要求</w:t>
      </w:r>
    </w:p>
    <w:tbl>
      <w:tblPr>
        <w:tblStyle w:val="33"/>
        <w:tblW w:w="0" w:type="auto"/>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147"/>
        <w:gridCol w:w="1518"/>
        <w:gridCol w:w="1460"/>
        <w:gridCol w:w="2155"/>
        <w:gridCol w:w="1857"/>
      </w:tblGrid>
      <w:tr w14:paraId="6A2DE80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67" w:hRule="atLeast"/>
          <w:jc w:val="center"/>
        </w:trPr>
        <w:tc>
          <w:tcPr>
            <w:tcW w:w="2147" w:type="dxa"/>
            <w:vAlign w:val="center"/>
          </w:tcPr>
          <w:p w14:paraId="7877969E">
            <w:pPr>
              <w:spacing w:after="0" w:line="300" w:lineRule="exact"/>
              <w:jc w:val="center"/>
              <w:rPr>
                <w:rFonts w:ascii="Times New Roman" w:cs="Times New Roman"/>
                <w:sz w:val="24"/>
                <w:szCs w:val="24"/>
                <w:lang w:eastAsia="zh-CN" w:bidi="ar-SA"/>
              </w:rPr>
            </w:pPr>
            <w:r>
              <w:rPr>
                <w:rFonts w:ascii="Times New Roman" w:cs="Times New Roman"/>
                <w:sz w:val="24"/>
                <w:szCs w:val="24"/>
                <w:lang w:eastAsia="zh-CN" w:bidi="ar-SA"/>
              </w:rPr>
              <w:t>有效人数</w:t>
            </w:r>
          </w:p>
        </w:tc>
        <w:tc>
          <w:tcPr>
            <w:tcW w:w="1518" w:type="dxa"/>
          </w:tcPr>
          <w:p w14:paraId="20370D54">
            <w:pPr>
              <w:spacing w:after="0" w:line="300" w:lineRule="exact"/>
              <w:jc w:val="center"/>
              <w:rPr>
                <w:rFonts w:ascii="Times New Roman" w:cs="Times New Roman"/>
                <w:sz w:val="24"/>
                <w:szCs w:val="24"/>
                <w:lang w:eastAsia="zh-CN" w:bidi="ar-SA"/>
              </w:rPr>
            </w:pPr>
            <w:r>
              <w:rPr>
                <w:rFonts w:ascii="Times New Roman" w:cs="Times New Roman"/>
                <w:sz w:val="24"/>
                <w:szCs w:val="24"/>
                <w:lang w:eastAsia="zh-CN" w:bidi="ar-SA"/>
              </w:rPr>
              <w:t>初次</w:t>
            </w:r>
            <w:r>
              <w:rPr>
                <w:rFonts w:hint="eastAsia" w:ascii="Times New Roman" w:cs="Times New Roman"/>
                <w:sz w:val="24"/>
                <w:szCs w:val="24"/>
                <w:lang w:eastAsia="zh-CN" w:bidi="ar-SA"/>
              </w:rPr>
              <w:t>现场</w:t>
            </w:r>
            <w:r>
              <w:rPr>
                <w:rFonts w:ascii="Times New Roman" w:cs="Times New Roman"/>
                <w:sz w:val="24"/>
                <w:szCs w:val="24"/>
                <w:lang w:eastAsia="zh-CN" w:bidi="ar-SA"/>
              </w:rPr>
              <w:t>审核人</w:t>
            </w:r>
            <w:r>
              <w:rPr>
                <w:rFonts w:hint="eastAsia" w:ascii="Times New Roman" w:cs="Times New Roman"/>
                <w:sz w:val="24"/>
                <w:szCs w:val="24"/>
                <w:lang w:eastAsia="zh-CN" w:bidi="ar-SA"/>
              </w:rPr>
              <w:t>天</w:t>
            </w:r>
            <w:r>
              <w:rPr>
                <w:rFonts w:ascii="Times New Roman" w:cs="Times New Roman"/>
                <w:sz w:val="24"/>
                <w:szCs w:val="24"/>
                <w:lang w:eastAsia="zh-CN" w:bidi="ar-SA"/>
              </w:rPr>
              <w:t>（人日）</w:t>
            </w:r>
            <w:r>
              <w:rPr>
                <w:rFonts w:hint="eastAsia" w:ascii="Times New Roman" w:cs="Times New Roman"/>
                <w:sz w:val="24"/>
                <w:szCs w:val="24"/>
                <w:lang w:eastAsia="zh-CN" w:bidi="ar-SA"/>
              </w:rPr>
              <w:t xml:space="preserve"> </w:t>
            </w:r>
          </w:p>
        </w:tc>
        <w:tc>
          <w:tcPr>
            <w:tcW w:w="1460" w:type="dxa"/>
          </w:tcPr>
          <w:p w14:paraId="428E8D90">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再认证现场审核人天</w:t>
            </w:r>
            <w:r>
              <w:rPr>
                <w:rFonts w:ascii="Times New Roman" w:cs="Times New Roman"/>
                <w:sz w:val="24"/>
                <w:szCs w:val="24"/>
                <w:lang w:eastAsia="zh-CN" w:bidi="ar-SA"/>
              </w:rPr>
              <w:t>（人日）</w:t>
            </w:r>
          </w:p>
        </w:tc>
        <w:tc>
          <w:tcPr>
            <w:tcW w:w="2155" w:type="dxa"/>
          </w:tcPr>
          <w:p w14:paraId="046C8585">
            <w:pPr>
              <w:spacing w:after="0" w:line="300" w:lineRule="exact"/>
              <w:rPr>
                <w:rFonts w:ascii="Times New Roman" w:cs="Times New Roman"/>
                <w:sz w:val="24"/>
                <w:szCs w:val="24"/>
                <w:lang w:eastAsia="zh-CN" w:bidi="ar-SA"/>
              </w:rPr>
            </w:pPr>
            <w:r>
              <w:rPr>
                <w:rFonts w:hint="eastAsia" w:ascii="Times New Roman" w:cs="Times New Roman"/>
                <w:sz w:val="24"/>
                <w:szCs w:val="24"/>
                <w:lang w:eastAsia="zh-CN" w:bidi="ar-SA"/>
              </w:rPr>
              <w:t>初次审核文件审核人天/再认证文件审核人天</w:t>
            </w:r>
            <w:r>
              <w:rPr>
                <w:rFonts w:ascii="Times New Roman" w:cs="Times New Roman"/>
                <w:sz w:val="24"/>
                <w:szCs w:val="24"/>
                <w:lang w:eastAsia="zh-CN" w:bidi="ar-SA"/>
              </w:rPr>
              <w:t>（人日）</w:t>
            </w:r>
          </w:p>
        </w:tc>
        <w:tc>
          <w:tcPr>
            <w:tcW w:w="1857" w:type="dxa"/>
            <w:vAlign w:val="center"/>
          </w:tcPr>
          <w:p w14:paraId="523219B8">
            <w:pPr>
              <w:spacing w:after="0" w:line="300" w:lineRule="exact"/>
              <w:jc w:val="center"/>
              <w:rPr>
                <w:rFonts w:ascii="Times New Roman" w:cs="Times New Roman"/>
                <w:sz w:val="24"/>
                <w:szCs w:val="24"/>
                <w:lang w:eastAsia="zh-CN" w:bidi="ar-SA"/>
              </w:rPr>
            </w:pPr>
            <w:r>
              <w:rPr>
                <w:rFonts w:ascii="Times New Roman" w:cs="Times New Roman"/>
                <w:sz w:val="24"/>
                <w:szCs w:val="24"/>
                <w:lang w:eastAsia="zh-CN" w:bidi="ar-SA"/>
              </w:rPr>
              <w:t>监督审核</w:t>
            </w:r>
            <w:r>
              <w:rPr>
                <w:rFonts w:hint="eastAsia" w:ascii="Times New Roman" w:cs="Times New Roman"/>
                <w:sz w:val="24"/>
                <w:szCs w:val="24"/>
                <w:lang w:eastAsia="zh-CN" w:bidi="ar-SA"/>
              </w:rPr>
              <w:t>人天</w:t>
            </w:r>
            <w:r>
              <w:rPr>
                <w:rFonts w:ascii="Times New Roman" w:cs="Times New Roman"/>
                <w:sz w:val="24"/>
                <w:szCs w:val="24"/>
                <w:lang w:eastAsia="zh-CN" w:bidi="ar-SA"/>
              </w:rPr>
              <w:t>（人日）</w:t>
            </w:r>
          </w:p>
        </w:tc>
      </w:tr>
      <w:tr w14:paraId="00EE221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147" w:type="dxa"/>
          </w:tcPr>
          <w:p w14:paraId="1AB4C2D9">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1-75</w:t>
            </w:r>
          </w:p>
        </w:tc>
        <w:tc>
          <w:tcPr>
            <w:tcW w:w="1518" w:type="dxa"/>
          </w:tcPr>
          <w:p w14:paraId="5F45D302">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2</w:t>
            </w:r>
          </w:p>
        </w:tc>
        <w:tc>
          <w:tcPr>
            <w:tcW w:w="1460" w:type="dxa"/>
          </w:tcPr>
          <w:p w14:paraId="261CFAC1">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2</w:t>
            </w:r>
          </w:p>
        </w:tc>
        <w:tc>
          <w:tcPr>
            <w:tcW w:w="2155" w:type="dxa"/>
          </w:tcPr>
          <w:p w14:paraId="22BC5AA0">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0.5</w:t>
            </w:r>
          </w:p>
        </w:tc>
        <w:tc>
          <w:tcPr>
            <w:tcW w:w="1857" w:type="dxa"/>
          </w:tcPr>
          <w:p w14:paraId="13F2CC89">
            <w:pPr>
              <w:spacing w:after="0" w:line="300" w:lineRule="exact"/>
              <w:jc w:val="center"/>
              <w:rPr>
                <w:rFonts w:ascii="Times New Roman" w:cs="Times New Roman"/>
                <w:sz w:val="24"/>
                <w:szCs w:val="24"/>
                <w:lang w:eastAsia="zh-CN" w:bidi="ar-SA"/>
              </w:rPr>
            </w:pPr>
            <w:r>
              <w:rPr>
                <w:rFonts w:ascii="Times New Roman" w:cs="Times New Roman"/>
                <w:sz w:val="24"/>
                <w:szCs w:val="24"/>
                <w:lang w:eastAsia="zh-CN" w:bidi="ar-SA"/>
              </w:rPr>
              <w:t>1</w:t>
            </w:r>
          </w:p>
        </w:tc>
      </w:tr>
      <w:tr w14:paraId="11B9920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147" w:type="dxa"/>
          </w:tcPr>
          <w:p w14:paraId="1E093983">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7</w:t>
            </w:r>
            <w:r>
              <w:rPr>
                <w:rFonts w:ascii="Times New Roman" w:cs="Times New Roman"/>
                <w:sz w:val="24"/>
                <w:szCs w:val="24"/>
                <w:lang w:eastAsia="zh-CN" w:bidi="ar-SA"/>
              </w:rPr>
              <w:t>6</w:t>
            </w:r>
            <w:r>
              <w:rPr>
                <w:rFonts w:hint="eastAsia" w:ascii="Times New Roman" w:cs="Times New Roman"/>
                <w:sz w:val="24"/>
                <w:szCs w:val="24"/>
                <w:lang w:eastAsia="zh-CN" w:bidi="ar-SA"/>
              </w:rPr>
              <w:t>-150</w:t>
            </w:r>
          </w:p>
        </w:tc>
        <w:tc>
          <w:tcPr>
            <w:tcW w:w="1518" w:type="dxa"/>
          </w:tcPr>
          <w:p w14:paraId="785E6FFF">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3</w:t>
            </w:r>
          </w:p>
        </w:tc>
        <w:tc>
          <w:tcPr>
            <w:tcW w:w="1460" w:type="dxa"/>
          </w:tcPr>
          <w:p w14:paraId="2AE3851E">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2.5</w:t>
            </w:r>
          </w:p>
        </w:tc>
        <w:tc>
          <w:tcPr>
            <w:tcW w:w="2155" w:type="dxa"/>
          </w:tcPr>
          <w:p w14:paraId="56AC2B3A">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0.5</w:t>
            </w:r>
          </w:p>
        </w:tc>
        <w:tc>
          <w:tcPr>
            <w:tcW w:w="1857" w:type="dxa"/>
          </w:tcPr>
          <w:p w14:paraId="2C2D3BC3">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2</w:t>
            </w:r>
          </w:p>
        </w:tc>
      </w:tr>
      <w:tr w14:paraId="74F6556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147" w:type="dxa"/>
          </w:tcPr>
          <w:p w14:paraId="15FF8A1F">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151-600</w:t>
            </w:r>
          </w:p>
        </w:tc>
        <w:tc>
          <w:tcPr>
            <w:tcW w:w="1518" w:type="dxa"/>
          </w:tcPr>
          <w:p w14:paraId="62B20450">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4</w:t>
            </w:r>
          </w:p>
        </w:tc>
        <w:tc>
          <w:tcPr>
            <w:tcW w:w="1460" w:type="dxa"/>
          </w:tcPr>
          <w:p w14:paraId="4D38B97F">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3</w:t>
            </w:r>
          </w:p>
        </w:tc>
        <w:tc>
          <w:tcPr>
            <w:tcW w:w="2155" w:type="dxa"/>
          </w:tcPr>
          <w:p w14:paraId="310D9DD1">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1</w:t>
            </w:r>
          </w:p>
        </w:tc>
        <w:tc>
          <w:tcPr>
            <w:tcW w:w="1857" w:type="dxa"/>
          </w:tcPr>
          <w:p w14:paraId="07D017C0">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3</w:t>
            </w:r>
          </w:p>
        </w:tc>
      </w:tr>
      <w:tr w14:paraId="58E98E7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147" w:type="dxa"/>
          </w:tcPr>
          <w:p w14:paraId="751CF438">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601-1000</w:t>
            </w:r>
          </w:p>
        </w:tc>
        <w:tc>
          <w:tcPr>
            <w:tcW w:w="1518" w:type="dxa"/>
          </w:tcPr>
          <w:p w14:paraId="243955AA">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5</w:t>
            </w:r>
          </w:p>
        </w:tc>
        <w:tc>
          <w:tcPr>
            <w:tcW w:w="1460" w:type="dxa"/>
          </w:tcPr>
          <w:p w14:paraId="22ADEDD9">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4</w:t>
            </w:r>
          </w:p>
        </w:tc>
        <w:tc>
          <w:tcPr>
            <w:tcW w:w="2155" w:type="dxa"/>
          </w:tcPr>
          <w:p w14:paraId="411A23DC">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1</w:t>
            </w:r>
          </w:p>
        </w:tc>
        <w:tc>
          <w:tcPr>
            <w:tcW w:w="1857" w:type="dxa"/>
          </w:tcPr>
          <w:p w14:paraId="5E4102C7">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3</w:t>
            </w:r>
          </w:p>
        </w:tc>
      </w:tr>
      <w:tr w14:paraId="4B962F7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147" w:type="dxa"/>
          </w:tcPr>
          <w:p w14:paraId="202DD477">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1001-2000</w:t>
            </w:r>
          </w:p>
        </w:tc>
        <w:tc>
          <w:tcPr>
            <w:tcW w:w="1518" w:type="dxa"/>
          </w:tcPr>
          <w:p w14:paraId="0E8D6515">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5</w:t>
            </w:r>
          </w:p>
        </w:tc>
        <w:tc>
          <w:tcPr>
            <w:tcW w:w="1460" w:type="dxa"/>
          </w:tcPr>
          <w:p w14:paraId="57DEBAA5">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4.5</w:t>
            </w:r>
          </w:p>
        </w:tc>
        <w:tc>
          <w:tcPr>
            <w:tcW w:w="2155" w:type="dxa"/>
          </w:tcPr>
          <w:p w14:paraId="543EB273">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1</w:t>
            </w:r>
          </w:p>
        </w:tc>
        <w:tc>
          <w:tcPr>
            <w:tcW w:w="1857" w:type="dxa"/>
          </w:tcPr>
          <w:p w14:paraId="111637F8">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4</w:t>
            </w:r>
          </w:p>
        </w:tc>
      </w:tr>
      <w:tr w14:paraId="0E555A4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147" w:type="dxa"/>
          </w:tcPr>
          <w:p w14:paraId="090430AC">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2001-3000</w:t>
            </w:r>
          </w:p>
        </w:tc>
        <w:tc>
          <w:tcPr>
            <w:tcW w:w="1518" w:type="dxa"/>
          </w:tcPr>
          <w:p w14:paraId="538D07EC">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6</w:t>
            </w:r>
          </w:p>
        </w:tc>
        <w:tc>
          <w:tcPr>
            <w:tcW w:w="1460" w:type="dxa"/>
          </w:tcPr>
          <w:p w14:paraId="0F6BF39B">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5</w:t>
            </w:r>
          </w:p>
        </w:tc>
        <w:tc>
          <w:tcPr>
            <w:tcW w:w="2155" w:type="dxa"/>
          </w:tcPr>
          <w:p w14:paraId="6FACCA32">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1</w:t>
            </w:r>
          </w:p>
        </w:tc>
        <w:tc>
          <w:tcPr>
            <w:tcW w:w="1857" w:type="dxa"/>
          </w:tcPr>
          <w:p w14:paraId="15F87688">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4</w:t>
            </w:r>
          </w:p>
        </w:tc>
      </w:tr>
      <w:tr w14:paraId="306987A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147" w:type="dxa"/>
          </w:tcPr>
          <w:p w14:paraId="45AF66E5">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3001-4000</w:t>
            </w:r>
          </w:p>
        </w:tc>
        <w:tc>
          <w:tcPr>
            <w:tcW w:w="1518" w:type="dxa"/>
          </w:tcPr>
          <w:p w14:paraId="08D78AC7">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7</w:t>
            </w:r>
          </w:p>
        </w:tc>
        <w:tc>
          <w:tcPr>
            <w:tcW w:w="1460" w:type="dxa"/>
          </w:tcPr>
          <w:p w14:paraId="16A93E36">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6</w:t>
            </w:r>
          </w:p>
        </w:tc>
        <w:tc>
          <w:tcPr>
            <w:tcW w:w="2155" w:type="dxa"/>
          </w:tcPr>
          <w:p w14:paraId="4DCE4545">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1</w:t>
            </w:r>
          </w:p>
        </w:tc>
        <w:tc>
          <w:tcPr>
            <w:tcW w:w="1857" w:type="dxa"/>
          </w:tcPr>
          <w:p w14:paraId="30287FFD">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5</w:t>
            </w:r>
          </w:p>
        </w:tc>
      </w:tr>
      <w:tr w14:paraId="6F8C8AA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147" w:type="dxa"/>
          </w:tcPr>
          <w:p w14:paraId="678402CC">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4001-8000</w:t>
            </w:r>
          </w:p>
        </w:tc>
        <w:tc>
          <w:tcPr>
            <w:tcW w:w="1518" w:type="dxa"/>
          </w:tcPr>
          <w:p w14:paraId="494A7AC4">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8</w:t>
            </w:r>
          </w:p>
        </w:tc>
        <w:tc>
          <w:tcPr>
            <w:tcW w:w="1460" w:type="dxa"/>
          </w:tcPr>
          <w:p w14:paraId="6F48B99B">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6.5</w:t>
            </w:r>
          </w:p>
        </w:tc>
        <w:tc>
          <w:tcPr>
            <w:tcW w:w="2155" w:type="dxa"/>
          </w:tcPr>
          <w:p w14:paraId="696D70E6">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1</w:t>
            </w:r>
          </w:p>
        </w:tc>
        <w:tc>
          <w:tcPr>
            <w:tcW w:w="1857" w:type="dxa"/>
          </w:tcPr>
          <w:p w14:paraId="13B993D4">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5</w:t>
            </w:r>
          </w:p>
        </w:tc>
      </w:tr>
      <w:tr w14:paraId="56BBBF0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147" w:type="dxa"/>
          </w:tcPr>
          <w:p w14:paraId="5E97966F">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8001-15000</w:t>
            </w:r>
          </w:p>
        </w:tc>
        <w:tc>
          <w:tcPr>
            <w:tcW w:w="1518" w:type="dxa"/>
          </w:tcPr>
          <w:p w14:paraId="2A57C7C0">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8</w:t>
            </w:r>
          </w:p>
        </w:tc>
        <w:tc>
          <w:tcPr>
            <w:tcW w:w="1460" w:type="dxa"/>
          </w:tcPr>
          <w:p w14:paraId="10D1278E">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7</w:t>
            </w:r>
          </w:p>
        </w:tc>
        <w:tc>
          <w:tcPr>
            <w:tcW w:w="2155" w:type="dxa"/>
          </w:tcPr>
          <w:p w14:paraId="475FBCDB">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1</w:t>
            </w:r>
          </w:p>
        </w:tc>
        <w:tc>
          <w:tcPr>
            <w:tcW w:w="1857" w:type="dxa"/>
          </w:tcPr>
          <w:p w14:paraId="14059F14">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6</w:t>
            </w:r>
          </w:p>
        </w:tc>
      </w:tr>
      <w:tr w14:paraId="0DE3B07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147" w:type="dxa"/>
          </w:tcPr>
          <w:p w14:paraId="4CE328EF">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15001-20000</w:t>
            </w:r>
          </w:p>
        </w:tc>
        <w:tc>
          <w:tcPr>
            <w:tcW w:w="1518" w:type="dxa"/>
          </w:tcPr>
          <w:p w14:paraId="34DF88DA">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9</w:t>
            </w:r>
          </w:p>
        </w:tc>
        <w:tc>
          <w:tcPr>
            <w:tcW w:w="1460" w:type="dxa"/>
          </w:tcPr>
          <w:p w14:paraId="70A72A16">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8</w:t>
            </w:r>
          </w:p>
        </w:tc>
        <w:tc>
          <w:tcPr>
            <w:tcW w:w="2155" w:type="dxa"/>
          </w:tcPr>
          <w:p w14:paraId="58E0A01C">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1</w:t>
            </w:r>
          </w:p>
        </w:tc>
        <w:tc>
          <w:tcPr>
            <w:tcW w:w="1857" w:type="dxa"/>
          </w:tcPr>
          <w:p w14:paraId="34EE2CE1">
            <w:pPr>
              <w:spacing w:after="0" w:line="300" w:lineRule="exact"/>
              <w:jc w:val="center"/>
              <w:rPr>
                <w:rFonts w:ascii="Times New Roman" w:cs="Times New Roman"/>
                <w:sz w:val="24"/>
                <w:szCs w:val="24"/>
                <w:lang w:eastAsia="zh-CN" w:bidi="ar-SA"/>
              </w:rPr>
            </w:pPr>
            <w:r>
              <w:rPr>
                <w:rFonts w:hint="eastAsia" w:ascii="Times New Roman" w:cs="Times New Roman"/>
                <w:sz w:val="24"/>
                <w:szCs w:val="24"/>
                <w:lang w:eastAsia="zh-CN" w:bidi="ar-SA"/>
              </w:rPr>
              <w:t>6</w:t>
            </w:r>
          </w:p>
        </w:tc>
      </w:tr>
      <w:tr w14:paraId="788010F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2147" w:type="dxa"/>
          </w:tcPr>
          <w:p w14:paraId="128783E2">
            <w:pPr>
              <w:spacing w:after="0" w:line="300" w:lineRule="exact"/>
              <w:jc w:val="center"/>
              <w:rPr>
                <w:rFonts w:ascii="Times New Roman" w:cs="Times New Roman"/>
                <w:sz w:val="24"/>
                <w:szCs w:val="24"/>
                <w:lang w:eastAsia="zh-CN" w:bidi="ar-SA"/>
              </w:rPr>
            </w:pPr>
            <w:r>
              <w:rPr>
                <w:rFonts w:ascii="Times New Roman" w:cs="Times New Roman"/>
                <w:sz w:val="24"/>
                <w:szCs w:val="24"/>
                <w:lang w:eastAsia="zh-CN" w:bidi="ar-SA"/>
              </w:rPr>
              <w:t>&gt;</w:t>
            </w:r>
            <w:r>
              <w:rPr>
                <w:rFonts w:hint="eastAsia" w:ascii="Times New Roman" w:cs="Times New Roman"/>
                <w:sz w:val="24"/>
                <w:szCs w:val="24"/>
                <w:lang w:eastAsia="zh-CN" w:bidi="ar-SA"/>
              </w:rPr>
              <w:t>200</w:t>
            </w:r>
            <w:r>
              <w:rPr>
                <w:rFonts w:ascii="Times New Roman" w:cs="Times New Roman"/>
                <w:sz w:val="24"/>
                <w:szCs w:val="24"/>
                <w:lang w:eastAsia="zh-CN" w:bidi="ar-SA"/>
              </w:rPr>
              <w:t>00</w:t>
            </w:r>
          </w:p>
        </w:tc>
        <w:tc>
          <w:tcPr>
            <w:tcW w:w="6990" w:type="dxa"/>
            <w:gridSpan w:val="4"/>
          </w:tcPr>
          <w:p w14:paraId="012ABCD6">
            <w:pPr>
              <w:spacing w:after="0" w:line="300" w:lineRule="exact"/>
              <w:jc w:val="center"/>
              <w:rPr>
                <w:rFonts w:ascii="Times New Roman" w:cs="Times New Roman"/>
                <w:sz w:val="24"/>
                <w:szCs w:val="24"/>
                <w:lang w:eastAsia="zh-CN" w:bidi="ar-SA"/>
              </w:rPr>
            </w:pPr>
            <w:r>
              <w:rPr>
                <w:rFonts w:ascii="Times New Roman" w:cs="Times New Roman"/>
                <w:sz w:val="24"/>
                <w:szCs w:val="24"/>
                <w:lang w:eastAsia="zh-CN" w:bidi="ar-SA"/>
              </w:rPr>
              <w:t>遵循上述递进规律</w:t>
            </w:r>
          </w:p>
        </w:tc>
      </w:tr>
    </w:tbl>
    <w:p w14:paraId="34ECA273">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注：1、有效人数包括认证范围内涉及的所有全职人员，原则上以组织的社会保险登记证所附名册等信息为准。对非固定人员（包括季节性人员、临时人员和分包商人员）和兼职人员的有效人数核定，可根据其实际工作小时数予以适当减少或换算成等效的全职人员数。</w:t>
      </w:r>
      <w:r>
        <w:rPr>
          <w:rFonts w:ascii="Times New Roman" w:cs="Times New Roman" w:hAnsiTheme="minorEastAsia"/>
          <w:sz w:val="24"/>
          <w:szCs w:val="24"/>
          <w:lang w:eastAsia="zh-CN" w:bidi="ar-SA"/>
        </w:rPr>
        <w:t xml:space="preserve"> </w:t>
      </w:r>
    </w:p>
    <w:p w14:paraId="7FF60CB9">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2、人天的决定应根据每个组织/场所的员工人数确定审核所需的总人日，并且不得将所有场所的员工总数相加。</w:t>
      </w:r>
    </w:p>
    <w:p w14:paraId="29AC33AC">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3、审核时间的增加或减少可能会由于上述因素或以下因素的组合而发生变化，但不得超过30%。以下所示时间的任何更改均应有正当理由。</w:t>
      </w:r>
    </w:p>
    <w:p w14:paraId="5677A4C3">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4、以下因素(非详尽因素)可能会增加或减少如下图所示的时间。</w:t>
      </w:r>
    </w:p>
    <w:p w14:paraId="2BA2CFAF">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A、业务类型</w:t>
      </w:r>
    </w:p>
    <w:p w14:paraId="646EB676">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B、复杂性</w:t>
      </w:r>
    </w:p>
    <w:p w14:paraId="0C0D5598">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C、物流</w:t>
      </w:r>
    </w:p>
    <w:p w14:paraId="56367CF7">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D、多个或单个过程</w:t>
      </w:r>
    </w:p>
    <w:p w14:paraId="1A3F678F">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E、语言</w:t>
      </w:r>
    </w:p>
    <w:p w14:paraId="577022AD">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F、员工所从事的活动类型</w:t>
      </w:r>
    </w:p>
    <w:p w14:paraId="2787C201">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G、监管程度</w:t>
      </w:r>
    </w:p>
    <w:p w14:paraId="0D43D03E">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r>
        <w:rPr>
          <w:rFonts w:hint="eastAsia" w:ascii="Times New Roman" w:cs="Times New Roman" w:hAnsiTheme="minorEastAsia"/>
          <w:sz w:val="24"/>
          <w:szCs w:val="24"/>
          <w:lang w:eastAsia="zh-CN" w:bidi="ar-SA"/>
        </w:rPr>
        <w:t>H、HSPM体系运行的稳定性</w:t>
      </w:r>
      <w:r>
        <w:rPr>
          <w:rFonts w:ascii="Times New Roman" w:cs="Times New Roman" w:hAnsiTheme="minorEastAsia"/>
          <w:sz w:val="24"/>
          <w:szCs w:val="24"/>
          <w:lang w:eastAsia="zh-CN" w:bidi="ar-SA"/>
        </w:rPr>
        <w:br w:type="page"/>
      </w:r>
    </w:p>
    <w:p w14:paraId="28812523">
      <w:pPr>
        <w:pStyle w:val="2"/>
        <w:rPr>
          <w:lang w:eastAsia="zh-CN"/>
        </w:rPr>
      </w:pPr>
      <w:bookmarkStart w:id="28" w:name="_Toc226992337"/>
      <w:bookmarkStart w:id="29" w:name="_Toc227742114"/>
      <w:r>
        <w:rPr>
          <w:rFonts w:hint="eastAsia"/>
          <w:lang w:eastAsia="zh-CN"/>
        </w:rPr>
        <w:t>附录3  HSPM认证证书编号规则</w:t>
      </w:r>
      <w:bookmarkEnd w:id="28"/>
      <w:bookmarkEnd w:id="29"/>
    </w:p>
    <w:p w14:paraId="43C8BAE4">
      <w:pPr>
        <w:spacing w:after="0" w:line="360" w:lineRule="auto"/>
        <w:ind w:right="-297" w:rightChars="-135"/>
        <w:jc w:val="center"/>
        <w:rPr>
          <w:rFonts w:ascii="Times New Roman" w:hAnsi="Times New Roman" w:cs="Times New Roman"/>
          <w:sz w:val="32"/>
          <w:szCs w:val="32"/>
          <w:lang w:eastAsia="zh-CN"/>
        </w:rPr>
      </w:pPr>
      <w:r>
        <w:rPr>
          <w:rFonts w:hint="eastAsia" w:ascii="Times New Roman" w:hAnsi="Times New Roman" w:cs="Times New Roman"/>
          <w:sz w:val="32"/>
          <w:szCs w:val="32"/>
          <w:lang w:eastAsia="zh-CN"/>
        </w:rPr>
        <w:t>HSPM认证证书编号规则</w:t>
      </w:r>
    </w:p>
    <w:p w14:paraId="7E74C24B">
      <w:pPr>
        <w:spacing w:line="400" w:lineRule="exact"/>
        <w:ind w:right="9" w:firstLine="560"/>
        <w:rPr>
          <w:rFonts w:ascii="Times New Roman" w:hAnsi="Times New Roman" w:cs="Times New Roman"/>
          <w:sz w:val="24"/>
          <w:szCs w:val="24"/>
          <w:lang w:eastAsia="zh-CN"/>
        </w:rPr>
      </w:pPr>
      <w:r>
        <w:rPr>
          <w:rFonts w:hint="eastAsia" w:ascii="Times New Roman" w:hAnsi="Times New Roman" w:cs="Times New Roman"/>
          <w:spacing w:val="-3"/>
          <w:sz w:val="24"/>
          <w:szCs w:val="24"/>
          <w:lang w:eastAsia="zh-CN"/>
        </w:rPr>
        <w:t>2</w:t>
      </w:r>
      <w:r>
        <w:rPr>
          <w:rFonts w:ascii="Times New Roman" w:hAnsi="Times New Roman" w:cs="Times New Roman"/>
          <w:spacing w:val="-3"/>
          <w:sz w:val="24"/>
          <w:szCs w:val="24"/>
          <w:lang w:eastAsia="zh-CN"/>
        </w:rPr>
        <w:t xml:space="preserve">.1 </w:t>
      </w:r>
      <w:r>
        <w:rPr>
          <w:rFonts w:hint="eastAsia" w:ascii="Times New Roman" w:hAnsi="Times New Roman" w:cs="Times New Roman"/>
          <w:spacing w:val="-3"/>
          <w:sz w:val="24"/>
          <w:szCs w:val="24"/>
          <w:lang w:eastAsia="zh-CN"/>
        </w:rPr>
        <w:t>HSPM</w:t>
      </w:r>
      <w:r>
        <w:rPr>
          <w:rFonts w:ascii="Times New Roman" w:hAnsi="Times New Roman" w:cs="Times New Roman"/>
          <w:spacing w:val="-3"/>
          <w:sz w:val="24"/>
          <w:szCs w:val="24"/>
          <w:lang w:eastAsia="zh-CN"/>
        </w:rPr>
        <w:t xml:space="preserve"> </w:t>
      </w:r>
      <w:r>
        <w:rPr>
          <w:rFonts w:ascii="Times New Roman" w:cs="Times New Roman" w:hAnsiTheme="minorEastAsia"/>
          <w:spacing w:val="-3"/>
          <w:sz w:val="24"/>
          <w:szCs w:val="24"/>
          <w:lang w:eastAsia="zh-CN"/>
        </w:rPr>
        <w:t>认证证书编号由认证机构代码、发证年份号、</w:t>
      </w:r>
      <w:r>
        <w:rPr>
          <w:rFonts w:hint="eastAsia" w:ascii="Times New Roman" w:hAnsi="Times New Roman" w:cs="Times New Roman"/>
          <w:spacing w:val="-3"/>
          <w:sz w:val="24"/>
          <w:szCs w:val="24"/>
          <w:lang w:eastAsia="zh-CN"/>
        </w:rPr>
        <w:t>HSPM</w:t>
      </w:r>
      <w:r>
        <w:rPr>
          <w:rFonts w:ascii="Times New Roman" w:cs="Times New Roman" w:hAnsiTheme="minorEastAsia"/>
          <w:spacing w:val="-4"/>
          <w:sz w:val="24"/>
          <w:szCs w:val="24"/>
          <w:lang w:eastAsia="zh-CN"/>
        </w:rPr>
        <w:t>简写、顺</w:t>
      </w:r>
      <w:r>
        <w:rPr>
          <w:rFonts w:ascii="Times New Roman" w:cs="Times New Roman" w:hAnsiTheme="minorEastAsia"/>
          <w:spacing w:val="-1"/>
          <w:sz w:val="24"/>
          <w:szCs w:val="24"/>
          <w:lang w:eastAsia="zh-CN"/>
        </w:rPr>
        <w:t>序号、认证周期、认可机构代码和子证书号构成，格式如下：</w:t>
      </w:r>
    </w:p>
    <w:p w14:paraId="5B118238">
      <w:pPr>
        <w:rPr>
          <w:rFonts w:ascii="Times New Roman" w:hAnsi="Times New Roman" w:cs="Times New Roman"/>
          <w:sz w:val="24"/>
          <w:szCs w:val="24"/>
          <w:lang w:eastAsia="zh-CN"/>
        </w:rPr>
      </w:pPr>
      <w:r>
        <w:rPr>
          <w:rFonts w:ascii="Times New Roman" w:hAnsi="Times New Roman" w:cs="Times New Roman"/>
          <w:sz w:val="24"/>
          <w:szCs w:val="24"/>
          <w:lang w:eastAsia="zh-CN" w:bidi="ar-SA"/>
        </w:rPr>
        <w:pict>
          <v:shape id="_x0000_s1034" o:spid="_x0000_s1034" o:spt="32" type="#_x0000_t32" style="position:absolute;left:0pt;margin-left:121.5pt;margin-top:23.7pt;height:116.9pt;width:0pt;z-index:251659264;mso-width-relative:page;mso-height-relative:page;" o:connectortype="straight" filled="f" coordsize="21600,21600">
            <v:path arrowok="t"/>
            <v:fill on="f" focussize="0,0"/>
            <v:stroke/>
            <v:imagedata o:title=""/>
            <o:lock v:ext="edit"/>
          </v:shape>
        </w:pict>
      </w:r>
      <w:r>
        <w:rPr>
          <w:rFonts w:ascii="Times New Roman" w:hAnsi="Times New Roman" w:cs="Times New Roman"/>
          <w:sz w:val="24"/>
          <w:szCs w:val="24"/>
          <w:lang w:eastAsia="zh-CN" w:bidi="ar-SA"/>
        </w:rPr>
        <w:pict>
          <v:shape id="_x0000_s1043" o:spid="_x0000_s1043" o:spt="32" type="#_x0000_t32" style="position:absolute;left:0pt;margin-left:198pt;margin-top:23.7pt;height:44.05pt;width:0pt;z-index:251660288;mso-width-relative:page;mso-height-relative:page;" o:connectortype="straight" filled="f" coordsize="21600,21600">
            <v:path arrowok="t"/>
            <v:fill on="f" focussize="0,0"/>
            <v:stroke/>
            <v:imagedata o:title=""/>
            <o:lock v:ext="edit"/>
          </v:shape>
        </w:pict>
      </w:r>
      <w:r>
        <w:rPr>
          <w:rFonts w:ascii="Times New Roman" w:hAnsi="Times New Roman" w:cs="Times New Roman"/>
          <w:sz w:val="24"/>
          <w:szCs w:val="24"/>
          <w:lang w:eastAsia="zh-CN" w:bidi="ar-SA"/>
        </w:rPr>
        <w:pict>
          <v:shape id="_x0000_s1044" o:spid="_x0000_s1044" o:spt="32" type="#_x0000_t32" style="position:absolute;left:0pt;margin-left:231pt;margin-top:24.5pt;height:8.7pt;width:0.7pt;z-index:251661312;mso-width-relative:page;mso-height-relative:page;" o:connectortype="straight" filled="f" coordsize="21600,21600">
            <v:path arrowok="t"/>
            <v:fill on="f" focussize="0,0"/>
            <v:stroke/>
            <v:imagedata o:title=""/>
            <o:lock v:ext="edit"/>
          </v:shape>
        </w:pict>
      </w:r>
      <w:r>
        <w:rPr>
          <w:rFonts w:ascii="Times New Roman" w:hAnsi="Times New Roman" w:cs="Times New Roman"/>
          <w:sz w:val="24"/>
          <w:szCs w:val="24"/>
          <w:lang w:eastAsia="zh-CN"/>
        </w:rPr>
        <w:t>943  XX</w:t>
      </w:r>
      <w:r>
        <w:rPr>
          <w:rFonts w:hint="eastAsia" w:ascii="Times New Roman" w:hAnsi="Times New Roman" w:cs="Times New Roman"/>
          <w:sz w:val="24"/>
          <w:szCs w:val="24"/>
          <w:lang w:eastAsia="zh-CN"/>
        </w:rPr>
        <w:t xml:space="preserve">  </w:t>
      </w:r>
      <w:r>
        <w:rPr>
          <w:rFonts w:ascii="Times New Roman" w:hAnsi="Times New Roman" w:cs="Times New Roman"/>
          <w:sz w:val="24"/>
          <w:szCs w:val="24"/>
          <w:lang w:eastAsia="zh-CN"/>
        </w:rPr>
        <w:t xml:space="preserve"> </w:t>
      </w:r>
      <w:r>
        <w:rPr>
          <w:rFonts w:hint="eastAsia" w:ascii="Times New Roman" w:hAnsi="Times New Roman" w:cs="Times New Roman"/>
          <w:sz w:val="24"/>
          <w:szCs w:val="24"/>
          <w:lang w:eastAsia="zh-CN"/>
        </w:rPr>
        <w:t xml:space="preserve">XX  </w:t>
      </w:r>
      <w:r>
        <w:rPr>
          <w:rFonts w:ascii="Times New Roman" w:hAnsi="Times New Roman" w:cs="Times New Roman"/>
          <w:sz w:val="24"/>
          <w:szCs w:val="24"/>
          <w:lang w:eastAsia="zh-CN"/>
        </w:rPr>
        <w:t xml:space="preserve"> </w:t>
      </w:r>
      <w:r>
        <w:rPr>
          <w:rFonts w:hint="eastAsia" w:ascii="Times New Roman" w:hAnsi="Times New Roman" w:cs="Times New Roman"/>
          <w:sz w:val="24"/>
          <w:szCs w:val="24"/>
          <w:lang w:eastAsia="zh-CN"/>
        </w:rPr>
        <w:t>X</w:t>
      </w:r>
      <w:r>
        <w:rPr>
          <w:rFonts w:ascii="Times New Roman" w:hAnsi="Times New Roman" w:cs="Times New Roman"/>
          <w:sz w:val="24"/>
          <w:szCs w:val="24"/>
          <w:lang w:eastAsia="zh-CN"/>
        </w:rPr>
        <w:t xml:space="preserve">XXXX  R0 </w:t>
      </w:r>
      <w:r>
        <w:rPr>
          <w:rFonts w:hint="eastAsia" w:ascii="Times New Roman" w:hAnsi="Times New Roman" w:cs="Times New Roman"/>
          <w:sz w:val="24"/>
          <w:szCs w:val="24"/>
          <w:lang w:eastAsia="zh-CN"/>
        </w:rPr>
        <w:t xml:space="preserve"> </w:t>
      </w:r>
      <w:r>
        <w:rPr>
          <w:rFonts w:ascii="Times New Roman" w:hAnsi="Times New Roman" w:cs="Times New Roman"/>
          <w:sz w:val="24"/>
          <w:szCs w:val="24"/>
          <w:lang w:eastAsia="zh-CN"/>
        </w:rPr>
        <w:t xml:space="preserve"> XX </w:t>
      </w:r>
      <w:r>
        <w:rPr>
          <w:rFonts w:hint="eastAsia" w:ascii="Times New Roman" w:hAnsi="Times New Roman" w:cs="Times New Roman"/>
          <w:sz w:val="24"/>
          <w:szCs w:val="24"/>
          <w:lang w:eastAsia="zh-CN"/>
        </w:rPr>
        <w:t xml:space="preserve">  -</w:t>
      </w:r>
      <w:r>
        <w:rPr>
          <w:rFonts w:ascii="Times New Roman" w:hAnsi="Times New Roman" w:cs="Times New Roman"/>
          <w:sz w:val="24"/>
          <w:szCs w:val="24"/>
          <w:lang w:eastAsia="zh-CN"/>
        </w:rPr>
        <w:t xml:space="preserve">X  </w:t>
      </w:r>
    </w:p>
    <w:p w14:paraId="31B6D5C7">
      <w:pPr>
        <w:spacing w:after="0" w:line="240" w:lineRule="exact"/>
        <w:ind w:left="5244" w:leftChars="-63" w:hanging="5383" w:hangingChars="2243"/>
        <w:rPr>
          <w:rFonts w:ascii="Times New Roman" w:hAnsi="Times New Roman" w:cs="Times New Roman"/>
          <w:sz w:val="24"/>
          <w:szCs w:val="24"/>
          <w:lang w:eastAsia="zh-CN"/>
        </w:rPr>
      </w:pPr>
      <w:r>
        <w:rPr>
          <w:rFonts w:ascii="Times New Roman" w:hAnsi="Times New Roman" w:cs="Times New Roman"/>
          <w:sz w:val="24"/>
          <w:szCs w:val="24"/>
          <w:lang w:eastAsia="zh-CN" w:bidi="ar-SA"/>
        </w:rPr>
        <w:pict>
          <v:shape id="_x0000_s1036" o:spid="_x0000_s1036" o:spt="32" type="#_x0000_t32" style="position:absolute;left:0pt;margin-left:9.65pt;margin-top:-0.35pt;height:212.15pt;width:1.15pt;z-index:251662336;mso-width-relative:page;mso-height-relative:page;" o:connectortype="straight" filled="f" coordsize="21600,21600">
            <v:path arrowok="t"/>
            <v:fill on="f" focussize="0,0"/>
            <v:stroke/>
            <v:imagedata o:title=""/>
            <o:lock v:ext="edit"/>
          </v:shape>
        </w:pict>
      </w:r>
      <w:r>
        <w:rPr>
          <w:rFonts w:ascii="Times New Roman" w:hAnsi="Times New Roman" w:cs="Times New Roman"/>
          <w:sz w:val="24"/>
          <w:szCs w:val="24"/>
          <w:lang w:eastAsia="zh-CN" w:bidi="ar-SA"/>
        </w:rPr>
        <w:pict>
          <v:shape id="_x0000_s1037" o:spid="_x0000_s1037" o:spt="32" type="#_x0000_t32" style="position:absolute;left:0pt;margin-left:41.05pt;margin-top:-0.35pt;height:174.4pt;width:0pt;z-index:251663360;mso-width-relative:page;mso-height-relative:page;" o:connectortype="straight" filled="f" coordsize="21600,21600">
            <v:path arrowok="t"/>
            <v:fill on="f" focussize="0,0"/>
            <v:stroke/>
            <v:imagedata o:title=""/>
            <o:lock v:ext="edit"/>
          </v:shape>
        </w:pict>
      </w:r>
      <w:r>
        <w:rPr>
          <w:rFonts w:ascii="Times New Roman" w:hAnsi="Times New Roman" w:cs="Times New Roman"/>
          <w:sz w:val="21"/>
          <w:szCs w:val="21"/>
          <w:lang w:eastAsia="zh-CN"/>
        </w:rPr>
        <w:pict>
          <v:shape id="_x0000_s1045" o:spid="_x0000_s1045" o:spt="32" type="#_x0000_t32" style="position:absolute;left:0pt;margin-left:231pt;margin-top:6.75pt;height:0.85pt;width:28.3pt;z-index:251664384;mso-width-relative:page;mso-height-relative:page;" o:connectortype="straight" filled="f" coordsize="21600,21600">
            <v:path arrowok="t"/>
            <v:fill on="f" focussize="0,0"/>
            <v:stroke/>
            <v:imagedata o:title=""/>
            <o:lock v:ext="edit"/>
          </v:shape>
        </w:pict>
      </w:r>
      <w:r>
        <w:rPr>
          <w:rFonts w:ascii="Times New Roman" w:hAnsi="Times New Roman" w:cs="Times New Roman"/>
          <w:sz w:val="24"/>
          <w:szCs w:val="24"/>
          <w:lang w:eastAsia="zh-CN" w:bidi="ar-SA"/>
        </w:rPr>
        <w:pict>
          <v:shape id="_x0000_s1035" o:spid="_x0000_s1035" o:spt="32" type="#_x0000_t32" style="position:absolute;left:0pt;margin-left:74.25pt;margin-top:-0.35pt;height:151pt;width:0pt;z-index:251665408;mso-width-relative:page;mso-height-relative:page;" o:connectortype="straight" filled="f" coordsize="21600,21600">
            <v:path arrowok="t"/>
            <v:fill on="f" focussize="0,0"/>
            <v:stroke/>
            <v:imagedata o:title=""/>
            <o:lock v:ext="edit"/>
          </v:shape>
        </w:pict>
      </w:r>
      <w:r>
        <w:rPr>
          <w:rFonts w:ascii="Times New Roman" w:hAnsi="Times New Roman" w:cs="Times New Roman"/>
          <w:sz w:val="24"/>
          <w:szCs w:val="24"/>
          <w:lang w:eastAsia="zh-CN" w:bidi="ar-SA"/>
        </w:rPr>
        <w:pict>
          <v:shape id="_x0000_s1033" o:spid="_x0000_s1033" o:spt="32" type="#_x0000_t32" style="position:absolute;left:0pt;margin-left:165pt;margin-top:-0.55pt;height:79.25pt;width:0pt;z-index:251666432;mso-width-relative:page;mso-height-relative:page;" o:connectortype="straight" filled="f" coordsize="21600,21600">
            <v:path arrowok="t"/>
            <v:fill on="f" focussize="0,0"/>
            <v:stroke/>
            <v:imagedata o:title=""/>
            <o:lock v:ext="edit"/>
          </v:shape>
        </w:pict>
      </w:r>
      <w:r>
        <w:rPr>
          <w:rFonts w:ascii="Times New Roman" w:hAnsi="Times New Roman" w:cs="Times New Roman"/>
          <w:sz w:val="21"/>
          <w:szCs w:val="21"/>
          <w:lang w:eastAsia="zh-CN"/>
        </w:rPr>
        <w:t xml:space="preserve">                                                   </w:t>
      </w:r>
      <w:r>
        <w:rPr>
          <w:rFonts w:ascii="Times New Roman" w:cs="Times New Roman"/>
          <w:sz w:val="24"/>
          <w:szCs w:val="24"/>
          <w:lang w:eastAsia="zh-CN"/>
        </w:rPr>
        <w:t>多场所组织的子证书编号，在主证书编号后加子证书序号：</w:t>
      </w:r>
      <w:r>
        <w:rPr>
          <w:rFonts w:ascii="Times New Roman" w:hAnsi="Times New Roman" w:cs="Times New Roman"/>
          <w:sz w:val="24"/>
          <w:szCs w:val="24"/>
          <w:lang w:eastAsia="zh-CN"/>
        </w:rPr>
        <w:t>-1</w:t>
      </w:r>
      <w:r>
        <w:rPr>
          <w:rFonts w:ascii="Times New Roman" w:cs="Times New Roman"/>
          <w:sz w:val="24"/>
          <w:szCs w:val="24"/>
          <w:lang w:eastAsia="zh-CN"/>
        </w:rPr>
        <w:t>，</w:t>
      </w:r>
      <w:r>
        <w:rPr>
          <w:rFonts w:ascii="Times New Roman" w:hAnsi="Times New Roman" w:cs="Times New Roman"/>
          <w:sz w:val="24"/>
          <w:szCs w:val="24"/>
          <w:lang w:eastAsia="zh-CN"/>
        </w:rPr>
        <w:t>-2</w:t>
      </w:r>
      <w:r>
        <w:rPr>
          <w:rFonts w:ascii="Times New Roman" w:cs="Times New Roman"/>
          <w:sz w:val="24"/>
          <w:szCs w:val="24"/>
          <w:lang w:eastAsia="zh-CN"/>
        </w:rPr>
        <w:t>，</w:t>
      </w:r>
      <w:r>
        <w:rPr>
          <w:rFonts w:ascii="Times New Roman" w:hAnsi="Times New Roman" w:cs="Times New Roman"/>
          <w:sz w:val="24"/>
          <w:szCs w:val="24"/>
          <w:lang w:eastAsia="zh-CN"/>
        </w:rPr>
        <w:t>-3</w:t>
      </w:r>
      <w:r>
        <w:rPr>
          <w:rFonts w:ascii="Times New Roman" w:cs="Times New Roman"/>
          <w:sz w:val="24"/>
          <w:szCs w:val="24"/>
          <w:lang w:eastAsia="zh-CN"/>
        </w:rPr>
        <w:t>，</w:t>
      </w:r>
      <w:r>
        <w:rPr>
          <w:rFonts w:ascii="Times New Roman" w:hAnsi="Times New Roman" w:cs="Times New Roman"/>
          <w:sz w:val="24"/>
          <w:szCs w:val="24"/>
          <w:lang w:eastAsia="zh-CN"/>
        </w:rPr>
        <w:t xml:space="preserve">……                                        </w:t>
      </w:r>
    </w:p>
    <w:p w14:paraId="5EC967B9">
      <w:pPr>
        <w:spacing w:after="0" w:line="240" w:lineRule="exact"/>
        <w:ind w:left="6317" w:hanging="6316" w:hangingChars="2632"/>
        <w:rPr>
          <w:rFonts w:ascii="Times New Roman" w:hAnsi="Times New Roman" w:cs="Times New Roman"/>
          <w:sz w:val="24"/>
          <w:szCs w:val="24"/>
          <w:lang w:eastAsia="zh-CN"/>
        </w:rPr>
      </w:pPr>
    </w:p>
    <w:p w14:paraId="25BA6C80">
      <w:pPr>
        <w:spacing w:after="0" w:line="240" w:lineRule="exact"/>
        <w:ind w:left="5241" w:leftChars="2364" w:hanging="40" w:hangingChars="17"/>
        <w:rPr>
          <w:rFonts w:ascii="Times New Roman" w:hAnsi="Times New Roman" w:cs="Times New Roman"/>
          <w:sz w:val="24"/>
          <w:szCs w:val="24"/>
          <w:lang w:eastAsia="zh-CN"/>
        </w:rPr>
      </w:pPr>
      <w:r>
        <w:rPr>
          <w:rFonts w:ascii="Times New Roman" w:hAnsi="Times New Roman" w:cs="Times New Roman"/>
          <w:sz w:val="24"/>
          <w:szCs w:val="24"/>
          <w:lang w:eastAsia="zh-CN"/>
        </w:rPr>
        <w:pict>
          <v:shape id="_x0000_s1032" o:spid="_x0000_s1032" o:spt="32" type="#_x0000_t32" style="position:absolute;left:0pt;margin-left:198pt;margin-top:6.1pt;height:0pt;width:61.3pt;z-index:251667456;mso-width-relative:page;mso-height-relative:page;" o:connectortype="straight" filled="f" coordsize="21600,21600">
            <v:path arrowok="t"/>
            <v:fill on="f" focussize="0,0"/>
            <v:stroke/>
            <v:imagedata o:title=""/>
            <o:lock v:ext="edit"/>
          </v:shape>
        </w:pict>
      </w:r>
      <w:r>
        <w:rPr>
          <w:rFonts w:ascii="Times New Roman" w:cs="Times New Roman"/>
          <w:sz w:val="24"/>
          <w:szCs w:val="24"/>
          <w:lang w:eastAsia="zh-CN"/>
        </w:rPr>
        <w:t>通过认可后，为认可机构代码，未通过认</w:t>
      </w:r>
      <w:r>
        <w:rPr>
          <w:rFonts w:hint="eastAsia" w:ascii="Times New Roman" w:cs="Times New Roman"/>
          <w:sz w:val="24"/>
          <w:szCs w:val="24"/>
          <w:lang w:eastAsia="zh-CN"/>
        </w:rPr>
        <w:t>可</w:t>
      </w:r>
      <w:r>
        <w:rPr>
          <w:rFonts w:ascii="Times New Roman" w:cs="Times New Roman"/>
          <w:sz w:val="24"/>
          <w:szCs w:val="24"/>
          <w:lang w:eastAsia="zh-CN"/>
        </w:rPr>
        <w:t>代码为：</w:t>
      </w:r>
      <w:r>
        <w:rPr>
          <w:rFonts w:ascii="Times New Roman" w:hAnsi="Times New Roman" w:cs="Times New Roman"/>
          <w:sz w:val="24"/>
          <w:szCs w:val="24"/>
          <w:lang w:eastAsia="zh-CN"/>
        </w:rPr>
        <w:t xml:space="preserve">00                                    </w:t>
      </w:r>
    </w:p>
    <w:p w14:paraId="570BDABA">
      <w:pPr>
        <w:spacing w:after="0" w:line="240" w:lineRule="exact"/>
        <w:ind w:left="6317" w:hanging="6316" w:hangingChars="2632"/>
        <w:rPr>
          <w:rFonts w:ascii="Times New Roman" w:hAnsi="Times New Roman" w:cs="Times New Roman"/>
          <w:sz w:val="24"/>
          <w:szCs w:val="24"/>
          <w:lang w:eastAsia="zh-CN"/>
        </w:rPr>
      </w:pPr>
    </w:p>
    <w:p w14:paraId="5B8DA124">
      <w:pPr>
        <w:spacing w:after="0" w:line="240" w:lineRule="exact"/>
        <w:ind w:left="5241" w:leftChars="2364" w:hanging="40" w:hangingChars="17"/>
        <w:rPr>
          <w:rFonts w:ascii="Times New Roman" w:hAnsi="Times New Roman" w:cs="Times New Roman"/>
          <w:sz w:val="24"/>
          <w:szCs w:val="24"/>
          <w:lang w:eastAsia="zh-CN"/>
        </w:rPr>
      </w:pPr>
      <w:r>
        <w:rPr>
          <w:rFonts w:ascii="Times New Roman" w:hAnsi="Times New Roman" w:cs="Times New Roman"/>
          <w:sz w:val="24"/>
          <w:szCs w:val="24"/>
          <w:lang w:eastAsia="zh-CN"/>
        </w:rPr>
        <w:pict>
          <v:shape id="_x0000_s1038" o:spid="_x0000_s1038" o:spt="32" type="#_x0000_t32" style="position:absolute;left:0pt;margin-left:165pt;margin-top:6.7pt;height:0pt;width:94.3pt;z-index:251667456;mso-width-relative:page;mso-height-relative:page;" o:connectortype="straight" filled="f" coordsize="21600,21600">
            <v:path arrowok="t"/>
            <v:fill on="f" focussize="0,0"/>
            <v:stroke/>
            <v:imagedata o:title=""/>
            <o:lock v:ext="edit"/>
          </v:shape>
        </w:pict>
      </w:r>
      <w:r>
        <w:rPr>
          <w:rFonts w:ascii="Times New Roman" w:cs="Times New Roman"/>
          <w:sz w:val="24"/>
          <w:szCs w:val="24"/>
          <w:lang w:eastAsia="zh-CN"/>
        </w:rPr>
        <w:t>初次认证为：</w:t>
      </w:r>
      <w:r>
        <w:rPr>
          <w:rFonts w:ascii="Times New Roman" w:hAnsi="Times New Roman" w:cs="Times New Roman"/>
          <w:sz w:val="24"/>
          <w:szCs w:val="24"/>
          <w:lang w:eastAsia="zh-CN"/>
        </w:rPr>
        <w:t>R0</w:t>
      </w:r>
      <w:r>
        <w:rPr>
          <w:rFonts w:ascii="Times New Roman" w:cs="Times New Roman"/>
          <w:sz w:val="24"/>
          <w:szCs w:val="24"/>
          <w:lang w:eastAsia="zh-CN"/>
        </w:rPr>
        <w:t>，第一次再认证为：</w:t>
      </w:r>
      <w:r>
        <w:rPr>
          <w:rFonts w:ascii="Times New Roman" w:hAnsi="Times New Roman" w:cs="Times New Roman"/>
          <w:sz w:val="24"/>
          <w:szCs w:val="24"/>
          <w:lang w:eastAsia="zh-CN"/>
        </w:rPr>
        <w:t>R1</w:t>
      </w:r>
      <w:r>
        <w:rPr>
          <w:rFonts w:ascii="Times New Roman" w:cs="Times New Roman"/>
          <w:sz w:val="24"/>
          <w:szCs w:val="24"/>
          <w:lang w:eastAsia="zh-CN"/>
        </w:rPr>
        <w:t>，第二次再认证为：</w:t>
      </w:r>
      <w:r>
        <w:rPr>
          <w:rFonts w:ascii="Times New Roman" w:hAnsi="Times New Roman" w:cs="Times New Roman"/>
          <w:sz w:val="24"/>
          <w:szCs w:val="24"/>
          <w:lang w:eastAsia="zh-CN"/>
        </w:rPr>
        <w:t>R2</w:t>
      </w:r>
      <w:r>
        <w:rPr>
          <w:rFonts w:ascii="Times New Roman" w:cs="Times New Roman"/>
          <w:sz w:val="24"/>
          <w:szCs w:val="24"/>
          <w:lang w:eastAsia="zh-CN"/>
        </w:rPr>
        <w:t>，以此类推</w:t>
      </w:r>
    </w:p>
    <w:p w14:paraId="304F2CB6">
      <w:pPr>
        <w:spacing w:after="0" w:line="240" w:lineRule="exact"/>
        <w:ind w:left="6317" w:hanging="6316" w:hangingChars="2632"/>
        <w:rPr>
          <w:rFonts w:ascii="Times New Roman" w:hAnsi="Times New Roman" w:cs="Times New Roman"/>
          <w:sz w:val="24"/>
          <w:szCs w:val="24"/>
          <w:lang w:eastAsia="zh-CN"/>
        </w:rPr>
      </w:pPr>
      <w:r>
        <w:rPr>
          <w:rFonts w:ascii="Times New Roman" w:hAnsi="Times New Roman" w:cs="Times New Roman"/>
          <w:sz w:val="24"/>
          <w:szCs w:val="24"/>
          <w:lang w:eastAsia="zh-CN"/>
        </w:rPr>
        <w:pict>
          <v:shape id="_x0000_s1039" o:spid="_x0000_s1039" o:spt="32" type="#_x0000_t32" style="position:absolute;left:0pt;margin-left:121.5pt;margin-top:19pt;height:0.05pt;width:137.8pt;z-index:251668480;mso-width-relative:page;mso-height-relative:page;" o:connectortype="straight" filled="f" coordsize="21600,21600">
            <v:path arrowok="t"/>
            <v:fill on="f" focussize="0,0"/>
            <v:stroke/>
            <v:imagedata o:title=""/>
            <o:lock v:ext="edit"/>
          </v:shape>
        </w:pict>
      </w:r>
      <w:r>
        <w:rPr>
          <w:rFonts w:ascii="Times New Roman" w:hAnsi="Times New Roman" w:cs="Times New Roman"/>
          <w:sz w:val="24"/>
          <w:szCs w:val="24"/>
          <w:lang w:eastAsia="zh-CN"/>
        </w:rPr>
        <w:t xml:space="preserve">                                             </w:t>
      </w:r>
    </w:p>
    <w:p w14:paraId="72E47EF1">
      <w:pPr>
        <w:spacing w:after="0" w:line="240" w:lineRule="exact"/>
        <w:ind w:left="5254" w:leftChars="2388"/>
        <w:rPr>
          <w:rFonts w:ascii="Times New Roman" w:hAnsi="Times New Roman" w:cs="Times New Roman"/>
          <w:sz w:val="24"/>
          <w:szCs w:val="24"/>
          <w:lang w:eastAsia="zh-CN"/>
        </w:rPr>
      </w:pPr>
      <w:r>
        <w:rPr>
          <w:rFonts w:ascii="Times New Roman" w:cs="Times New Roman"/>
          <w:sz w:val="24"/>
          <w:szCs w:val="24"/>
          <w:lang w:eastAsia="zh-CN"/>
        </w:rPr>
        <w:t>顺序号，本公司当年发证书的顺序累计号：</w:t>
      </w:r>
      <w:r>
        <w:rPr>
          <w:rFonts w:hint="eastAsia" w:ascii="Times New Roman" w:hAnsi="Times New Roman" w:cs="Times New Roman"/>
          <w:sz w:val="24"/>
          <w:szCs w:val="24"/>
          <w:lang w:eastAsia="zh-CN"/>
        </w:rPr>
        <w:t>00</w:t>
      </w:r>
      <w:r>
        <w:rPr>
          <w:rFonts w:ascii="Times New Roman" w:hAnsi="Times New Roman" w:cs="Times New Roman"/>
          <w:sz w:val="24"/>
          <w:szCs w:val="24"/>
          <w:lang w:eastAsia="zh-CN"/>
        </w:rPr>
        <w:t>001</w:t>
      </w:r>
      <w:r>
        <w:rPr>
          <w:rFonts w:ascii="Times New Roman" w:cs="Times New Roman"/>
          <w:sz w:val="24"/>
          <w:szCs w:val="24"/>
          <w:lang w:eastAsia="zh-CN"/>
        </w:rPr>
        <w:t>，</w:t>
      </w:r>
      <w:r>
        <w:rPr>
          <w:rFonts w:hint="eastAsia" w:ascii="Times New Roman" w:hAnsi="Times New Roman" w:cs="Times New Roman"/>
          <w:sz w:val="24"/>
          <w:szCs w:val="24"/>
          <w:lang w:eastAsia="zh-CN"/>
        </w:rPr>
        <w:t>00</w:t>
      </w:r>
      <w:r>
        <w:rPr>
          <w:rFonts w:ascii="Times New Roman" w:hAnsi="Times New Roman" w:cs="Times New Roman"/>
          <w:sz w:val="24"/>
          <w:szCs w:val="24"/>
          <w:lang w:eastAsia="zh-CN"/>
        </w:rPr>
        <w:t>002</w:t>
      </w:r>
      <w:r>
        <w:rPr>
          <w:rFonts w:ascii="Times New Roman" w:cs="Times New Roman"/>
          <w:sz w:val="24"/>
          <w:szCs w:val="24"/>
          <w:lang w:eastAsia="zh-CN"/>
        </w:rPr>
        <w:t>，</w:t>
      </w:r>
      <w:r>
        <w:rPr>
          <w:rFonts w:hint="eastAsia" w:ascii="Times New Roman" w:hAnsi="Times New Roman" w:cs="Times New Roman"/>
          <w:sz w:val="24"/>
          <w:szCs w:val="24"/>
          <w:lang w:eastAsia="zh-CN"/>
        </w:rPr>
        <w:t>00</w:t>
      </w:r>
      <w:r>
        <w:rPr>
          <w:rFonts w:ascii="Times New Roman" w:hAnsi="Times New Roman" w:cs="Times New Roman"/>
          <w:sz w:val="24"/>
          <w:szCs w:val="24"/>
          <w:lang w:eastAsia="zh-CN"/>
        </w:rPr>
        <w:t>003</w:t>
      </w:r>
      <w:r>
        <w:rPr>
          <w:rFonts w:ascii="Times New Roman" w:cs="Times New Roman"/>
          <w:sz w:val="24"/>
          <w:szCs w:val="24"/>
          <w:lang w:eastAsia="zh-CN"/>
        </w:rPr>
        <w:t>，</w:t>
      </w:r>
      <w:r>
        <w:rPr>
          <w:rFonts w:ascii="Times New Roman" w:hAnsi="Times New Roman" w:cs="Times New Roman"/>
          <w:sz w:val="24"/>
          <w:szCs w:val="24"/>
          <w:lang w:eastAsia="zh-CN"/>
        </w:rPr>
        <w:t>.......</w:t>
      </w:r>
    </w:p>
    <w:p w14:paraId="701BE633">
      <w:pPr>
        <w:spacing w:after="0" w:line="240" w:lineRule="exact"/>
        <w:ind w:left="5731" w:leftChars="2605" w:firstLine="480" w:firstLineChars="200"/>
        <w:rPr>
          <w:rFonts w:ascii="Times New Roman" w:hAnsi="Times New Roman" w:cs="Times New Roman"/>
          <w:sz w:val="24"/>
          <w:szCs w:val="24"/>
          <w:lang w:eastAsia="zh-CN"/>
        </w:rPr>
      </w:pPr>
      <w:r>
        <w:rPr>
          <w:rFonts w:ascii="Times New Roman" w:hAnsi="Times New Roman" w:cs="Times New Roman"/>
          <w:sz w:val="24"/>
          <w:szCs w:val="24"/>
          <w:lang w:eastAsia="zh-CN"/>
        </w:rPr>
        <w:t xml:space="preserve">                                               </w:t>
      </w:r>
    </w:p>
    <w:p w14:paraId="728E8DC0">
      <w:pPr>
        <w:spacing w:after="0" w:line="240" w:lineRule="exact"/>
        <w:ind w:left="5245" w:leftChars="-463" w:hanging="6264" w:hangingChars="2610"/>
        <w:rPr>
          <w:rFonts w:ascii="Times New Roman" w:hAnsi="Times New Roman" w:cs="Times New Roman"/>
          <w:sz w:val="24"/>
          <w:szCs w:val="24"/>
          <w:lang w:eastAsia="zh-CN"/>
        </w:rPr>
      </w:pPr>
      <w:r>
        <w:rPr>
          <w:rFonts w:ascii="Times New Roman" w:hAnsi="Times New Roman" w:cs="Times New Roman"/>
          <w:sz w:val="24"/>
          <w:szCs w:val="24"/>
          <w:lang w:eastAsia="zh-CN"/>
        </w:rPr>
        <w:pict>
          <v:shape id="_x0000_s1040" o:spid="_x0000_s1040" o:spt="32" type="#_x0000_t32" style="position:absolute;left:0pt;margin-left:74.25pt;margin-top:6.65pt;height:0pt;width:185.05pt;z-index:251669504;mso-width-relative:page;mso-height-relative:page;" o:connectortype="straight" filled="f" coordsize="21600,21600">
            <v:path arrowok="t"/>
            <v:fill on="f" focussize="0,0"/>
            <v:stroke/>
            <v:imagedata o:title=""/>
            <o:lock v:ext="edit"/>
          </v:shape>
        </w:pict>
      </w:r>
      <w:r>
        <w:rPr>
          <w:rFonts w:ascii="Times New Roman" w:hAnsi="Times New Roman" w:cs="Times New Roman"/>
          <w:sz w:val="24"/>
          <w:szCs w:val="24"/>
          <w:lang w:eastAsia="zh-CN"/>
        </w:rPr>
        <w:t xml:space="preserve">                                           </w:t>
      </w:r>
      <w:r>
        <w:rPr>
          <w:rFonts w:hint="eastAsia" w:ascii="Times New Roman" w:hAnsi="Times New Roman" w:cs="Times New Roman"/>
          <w:sz w:val="24"/>
          <w:szCs w:val="24"/>
          <w:lang w:eastAsia="zh-CN"/>
        </w:rPr>
        <w:t xml:space="preserve">         </w:t>
      </w:r>
      <w:r>
        <w:rPr>
          <w:rFonts w:ascii="Times New Roman" w:cs="Times New Roman"/>
          <w:sz w:val="24"/>
          <w:szCs w:val="24"/>
          <w:lang w:eastAsia="zh-CN"/>
        </w:rPr>
        <w:t>认证证书所属领域代号：</w:t>
      </w:r>
      <w:r>
        <w:rPr>
          <w:rFonts w:hint="eastAsia" w:ascii="Times New Roman" w:hAnsi="Times New Roman" w:cs="Times New Roman"/>
          <w:sz w:val="24"/>
          <w:szCs w:val="24"/>
          <w:lang w:eastAsia="zh-CN"/>
        </w:rPr>
        <w:t>QC</w:t>
      </w:r>
      <w:r>
        <w:rPr>
          <w:rFonts w:ascii="Times New Roman" w:cs="Times New Roman"/>
          <w:sz w:val="24"/>
          <w:szCs w:val="24"/>
          <w:lang w:eastAsia="zh-CN"/>
        </w:rPr>
        <w:t>为</w:t>
      </w:r>
      <w:r>
        <w:rPr>
          <w:rFonts w:hint="eastAsia" w:ascii="Times New Roman" w:hAnsi="Times New Roman" w:cs="Times New Roman"/>
          <w:sz w:val="24"/>
          <w:szCs w:val="24"/>
          <w:lang w:eastAsia="zh-CN"/>
        </w:rPr>
        <w:t>HSPM</w:t>
      </w:r>
      <w:r>
        <w:rPr>
          <w:rFonts w:ascii="Times New Roman" w:cs="Times New Roman"/>
          <w:sz w:val="24"/>
          <w:szCs w:val="24"/>
          <w:lang w:eastAsia="zh-CN"/>
        </w:rPr>
        <w:t>。</w:t>
      </w:r>
    </w:p>
    <w:p w14:paraId="7BB6B99D">
      <w:pPr>
        <w:spacing w:after="0" w:line="240" w:lineRule="exact"/>
        <w:ind w:left="5245" w:leftChars="2384" w:firstLine="964" w:firstLineChars="402"/>
        <w:rPr>
          <w:rFonts w:ascii="Times New Roman" w:hAnsi="Times New Roman" w:cs="Times New Roman"/>
          <w:sz w:val="24"/>
          <w:szCs w:val="24"/>
          <w:lang w:eastAsia="zh-CN"/>
        </w:rPr>
      </w:pPr>
      <w:r>
        <w:rPr>
          <w:rFonts w:ascii="Times New Roman" w:hAnsi="Times New Roman" w:cs="Times New Roman"/>
          <w:sz w:val="24"/>
          <w:szCs w:val="24"/>
          <w:lang w:eastAsia="zh-CN"/>
        </w:rPr>
        <w:pict>
          <v:shape id="_x0000_s1041" o:spid="_x0000_s1041" o:spt="32" type="#_x0000_t32" style="position:absolute;left:0pt;margin-left:41.05pt;margin-top:18.05pt;height:0pt;width:218.25pt;z-index:251670528;mso-width-relative:page;mso-height-relative:page;" o:connectortype="straight" filled="f" coordsize="21600,21600">
            <v:path arrowok="t"/>
            <v:fill on="f" focussize="0,0"/>
            <v:stroke/>
            <v:imagedata o:title=""/>
            <o:lock v:ext="edit"/>
          </v:shape>
        </w:pict>
      </w:r>
      <w:r>
        <w:rPr>
          <w:rFonts w:ascii="Times New Roman" w:hAnsi="Times New Roman" w:cs="Times New Roman"/>
          <w:sz w:val="24"/>
          <w:szCs w:val="24"/>
          <w:lang w:eastAsia="zh-CN"/>
        </w:rPr>
        <w:t xml:space="preserve">                                                 </w:t>
      </w:r>
      <w:r>
        <w:rPr>
          <w:rFonts w:ascii="Times New Roman" w:cs="Times New Roman"/>
          <w:sz w:val="24"/>
          <w:szCs w:val="24"/>
          <w:lang w:eastAsia="zh-CN"/>
        </w:rPr>
        <w:t>年份号，证书发放的年份：</w:t>
      </w:r>
      <w:r>
        <w:rPr>
          <w:rFonts w:ascii="Times New Roman" w:hAnsi="Times New Roman" w:cs="Times New Roman"/>
          <w:sz w:val="24"/>
          <w:szCs w:val="24"/>
          <w:lang w:eastAsia="zh-CN"/>
        </w:rPr>
        <w:t>25-2025</w:t>
      </w:r>
      <w:r>
        <w:rPr>
          <w:rFonts w:ascii="Times New Roman" w:cs="Times New Roman"/>
          <w:sz w:val="24"/>
          <w:szCs w:val="24"/>
          <w:lang w:eastAsia="zh-CN"/>
        </w:rPr>
        <w:t>，</w:t>
      </w:r>
      <w:r>
        <w:rPr>
          <w:rFonts w:ascii="Times New Roman" w:hAnsi="Times New Roman" w:cs="Times New Roman"/>
          <w:sz w:val="24"/>
          <w:szCs w:val="24"/>
          <w:lang w:eastAsia="zh-CN"/>
        </w:rPr>
        <w:t>26-2026</w:t>
      </w:r>
      <w:r>
        <w:rPr>
          <w:rFonts w:ascii="Times New Roman" w:cs="Times New Roman"/>
          <w:sz w:val="24"/>
          <w:szCs w:val="24"/>
          <w:lang w:eastAsia="zh-CN"/>
        </w:rPr>
        <w:t>，</w:t>
      </w:r>
      <w:r>
        <w:rPr>
          <w:rFonts w:ascii="Times New Roman" w:hAnsi="Times New Roman" w:cs="Times New Roman"/>
          <w:sz w:val="24"/>
          <w:szCs w:val="24"/>
          <w:lang w:eastAsia="zh-CN"/>
        </w:rPr>
        <w:t>…..</w:t>
      </w:r>
    </w:p>
    <w:p w14:paraId="5B3FBB3E">
      <w:pPr>
        <w:spacing w:after="0" w:line="240" w:lineRule="exact"/>
        <w:ind w:left="5245" w:leftChars="2384" w:firstLine="964" w:firstLineChars="402"/>
        <w:rPr>
          <w:rFonts w:ascii="Times New Roman" w:hAnsi="Times New Roman" w:cs="Times New Roman"/>
          <w:sz w:val="21"/>
          <w:szCs w:val="21"/>
          <w:lang w:eastAsia="zh-CN"/>
        </w:rPr>
      </w:pPr>
      <w:r>
        <w:rPr>
          <w:rFonts w:ascii="Times New Roman" w:hAnsi="Times New Roman" w:cs="Times New Roman"/>
          <w:sz w:val="24"/>
          <w:szCs w:val="24"/>
          <w:lang w:eastAsia="zh-CN"/>
        </w:rPr>
        <w:pict>
          <v:shape id="_x0000_s1042" o:spid="_x0000_s1042" o:spt="32" type="#_x0000_t32" style="position:absolute;left:0pt;margin-left:10.8pt;margin-top:19.8pt;height:0pt;width:248.5pt;z-index:251671552;mso-width-relative:page;mso-height-relative:page;" o:connectortype="straight" filled="f" coordsize="21600,21600">
            <v:path arrowok="t"/>
            <v:fill on="f" focussize="0,0"/>
            <v:stroke/>
            <v:imagedata o:title=""/>
            <o:lock v:ext="edit"/>
          </v:shape>
        </w:pict>
      </w:r>
      <w:r>
        <w:rPr>
          <w:rFonts w:ascii="Times New Roman" w:hAnsi="Times New Roman" w:cs="Times New Roman"/>
          <w:sz w:val="24"/>
          <w:szCs w:val="24"/>
          <w:lang w:eastAsia="zh-CN"/>
        </w:rPr>
        <w:t xml:space="preserve">                                                        </w:t>
      </w:r>
      <w:r>
        <w:rPr>
          <w:rFonts w:ascii="Times New Roman" w:cs="Times New Roman"/>
          <w:sz w:val="24"/>
          <w:szCs w:val="24"/>
          <w:lang w:eastAsia="zh-CN"/>
        </w:rPr>
        <w:t>认证机构批准号后三位数字</w:t>
      </w:r>
      <w:r>
        <w:rPr>
          <w:rFonts w:ascii="Times New Roman" w:hAnsi="Times New Roman" w:cs="Times New Roman"/>
          <w:sz w:val="21"/>
          <w:szCs w:val="21"/>
          <w:lang w:eastAsia="zh-CN"/>
        </w:rPr>
        <w:t xml:space="preserve">                                                                      </w:t>
      </w:r>
    </w:p>
    <w:p w14:paraId="52A6B04F">
      <w:pPr>
        <w:spacing w:after="0" w:line="240" w:lineRule="exact"/>
        <w:rPr>
          <w:rFonts w:ascii="Times New Roman" w:hAnsi="Times New Roman" w:cs="Times New Roman"/>
          <w:sz w:val="21"/>
          <w:szCs w:val="21"/>
          <w:lang w:eastAsia="zh-CN"/>
        </w:rPr>
      </w:pPr>
    </w:p>
    <w:p w14:paraId="3BF3B73F">
      <w:pPr>
        <w:ind w:firstLine="480" w:firstLineChars="200"/>
        <w:rPr>
          <w:rFonts w:ascii="Times New Roman" w:cs="Times New Roman"/>
          <w:sz w:val="24"/>
          <w:szCs w:val="24"/>
          <w:lang w:eastAsia="zh-CN" w:bidi="ar-SA"/>
        </w:rPr>
      </w:pPr>
      <w:r>
        <w:rPr>
          <w:rFonts w:hint="eastAsia" w:ascii="Times New Roman" w:cs="Times New Roman"/>
          <w:sz w:val="24"/>
          <w:szCs w:val="24"/>
          <w:lang w:eastAsia="zh-CN" w:bidi="ar-SA"/>
        </w:rPr>
        <w:t>2</w:t>
      </w:r>
      <w:r>
        <w:rPr>
          <w:rFonts w:ascii="Times New Roman" w:cs="Times New Roman"/>
          <w:sz w:val="24"/>
          <w:szCs w:val="24"/>
          <w:lang w:eastAsia="zh-CN" w:bidi="ar-SA"/>
        </w:rPr>
        <w:t>.2同一个组织的认证范围覆盖多个场所并需要颁发子证书时，在子认证证书编号后加上“—”和序号，如—1（—2，—3，…)。</w:t>
      </w:r>
    </w:p>
    <w:p w14:paraId="08BF5995">
      <w:pPr>
        <w:ind w:firstLine="480" w:firstLineChars="200"/>
        <w:rPr>
          <w:rFonts w:ascii="Times New Roman" w:cs="Times New Roman"/>
          <w:sz w:val="24"/>
          <w:szCs w:val="24"/>
          <w:lang w:eastAsia="zh-CN" w:bidi="ar-SA"/>
        </w:rPr>
      </w:pPr>
      <w:r>
        <w:rPr>
          <w:rFonts w:hint="eastAsia" w:ascii="Times New Roman" w:cs="Times New Roman"/>
          <w:sz w:val="24"/>
          <w:szCs w:val="24"/>
          <w:lang w:eastAsia="zh-CN" w:bidi="ar-SA"/>
        </w:rPr>
        <w:t>2</w:t>
      </w:r>
      <w:r>
        <w:rPr>
          <w:rFonts w:ascii="Times New Roman" w:cs="Times New Roman"/>
          <w:sz w:val="24"/>
          <w:szCs w:val="24"/>
          <w:lang w:eastAsia="zh-CN" w:bidi="ar-SA"/>
        </w:rPr>
        <w:t>.3  有效期内换发认证证书，认证证书编号中的机构批准号、年份号、顺序号和认证证书的有效期保持不变，</w:t>
      </w:r>
      <w:r>
        <w:rPr>
          <w:rFonts w:hint="eastAsia" w:ascii="Times New Roman" w:cs="Times New Roman"/>
          <w:sz w:val="24"/>
          <w:szCs w:val="24"/>
          <w:lang w:eastAsia="zh-CN" w:bidi="ar-SA"/>
        </w:rPr>
        <w:t>并</w:t>
      </w:r>
      <w:r>
        <w:rPr>
          <w:rFonts w:ascii="Times New Roman" w:cs="Times New Roman"/>
          <w:sz w:val="24"/>
          <w:szCs w:val="24"/>
          <w:lang w:eastAsia="zh-CN" w:bidi="ar-SA"/>
        </w:rPr>
        <w:t>注明换证日期。</w:t>
      </w:r>
    </w:p>
    <w:p w14:paraId="6E502C25">
      <w:pPr>
        <w:ind w:firstLine="480" w:firstLineChars="200"/>
        <w:rPr>
          <w:rFonts w:ascii="Times New Roman" w:cs="Times New Roman"/>
          <w:sz w:val="24"/>
          <w:szCs w:val="24"/>
          <w:lang w:eastAsia="zh-CN" w:bidi="ar-SA"/>
        </w:rPr>
      </w:pPr>
      <w:r>
        <w:rPr>
          <w:rFonts w:hint="eastAsia" w:ascii="Times New Roman" w:cs="Times New Roman"/>
          <w:sz w:val="24"/>
          <w:szCs w:val="24"/>
          <w:lang w:eastAsia="zh-CN" w:bidi="ar-SA"/>
        </w:rPr>
        <w:t>2</w:t>
      </w:r>
      <w:r>
        <w:rPr>
          <w:rFonts w:ascii="Times New Roman" w:cs="Times New Roman"/>
          <w:sz w:val="24"/>
          <w:szCs w:val="24"/>
          <w:lang w:eastAsia="zh-CN" w:bidi="ar-SA"/>
        </w:rPr>
        <w:t>.4  再认证完成后换发认证证书，按</w:t>
      </w:r>
      <w:r>
        <w:rPr>
          <w:rFonts w:hint="eastAsia" w:ascii="Times New Roman" w:cs="Times New Roman"/>
          <w:sz w:val="24"/>
          <w:szCs w:val="24"/>
          <w:lang w:eastAsia="zh-CN" w:bidi="ar-SA"/>
        </w:rPr>
        <w:t>2</w:t>
      </w:r>
      <w:r>
        <w:rPr>
          <w:rFonts w:ascii="Times New Roman" w:cs="Times New Roman"/>
          <w:sz w:val="24"/>
          <w:szCs w:val="24"/>
          <w:lang w:eastAsia="zh-CN" w:bidi="ar-SA"/>
        </w:rPr>
        <w:t>.1规定重新赋予认证证书编号，初次认证为“R0”，第一次再认证为“R1”，第二次再认证为“R2”，依此类推。</w:t>
      </w:r>
    </w:p>
    <w:p w14:paraId="352AA6C2">
      <w:pPr>
        <w:ind w:firstLine="480" w:firstLineChars="200"/>
        <w:rPr>
          <w:rFonts w:ascii="Times New Roman" w:cs="Times New Roman"/>
          <w:sz w:val="24"/>
          <w:szCs w:val="24"/>
          <w:lang w:eastAsia="zh-CN" w:bidi="ar-SA"/>
        </w:rPr>
      </w:pPr>
      <w:r>
        <w:rPr>
          <w:rFonts w:hint="eastAsia" w:ascii="Times New Roman" w:cs="Times New Roman"/>
          <w:sz w:val="24"/>
          <w:szCs w:val="24"/>
          <w:lang w:eastAsia="zh-CN" w:bidi="ar-SA"/>
        </w:rPr>
        <w:t>2</w:t>
      </w:r>
      <w:r>
        <w:rPr>
          <w:rFonts w:ascii="Times New Roman" w:cs="Times New Roman"/>
          <w:sz w:val="24"/>
          <w:szCs w:val="24"/>
          <w:lang w:eastAsia="zh-CN" w:bidi="ar-SA"/>
        </w:rPr>
        <w:t>.5  撤销认证证书后，原认证证书编号废止，不再使用。</w:t>
      </w:r>
    </w:p>
    <w:p w14:paraId="1A5CDF6D">
      <w:pPr>
        <w:widowControl w:val="0"/>
        <w:autoSpaceDE w:val="0"/>
        <w:autoSpaceDN w:val="0"/>
        <w:adjustRightInd w:val="0"/>
        <w:spacing w:beforeLines="50" w:after="0"/>
        <w:ind w:firstLine="480" w:firstLineChars="200"/>
        <w:rPr>
          <w:rFonts w:ascii="Times New Roman" w:cs="Times New Roman" w:hAnsiTheme="minorEastAsia"/>
          <w:sz w:val="24"/>
          <w:szCs w:val="24"/>
          <w:lang w:eastAsia="zh-CN" w:bidi="ar-SA"/>
        </w:rPr>
      </w:pPr>
    </w:p>
    <w:p w14:paraId="167ED809">
      <w:pPr>
        <w:spacing w:after="0"/>
        <w:rPr>
          <w:rFonts w:ascii="Times New Roman" w:cs="Times New Roman" w:hAnsiTheme="minorEastAsia"/>
          <w:sz w:val="24"/>
          <w:szCs w:val="24"/>
          <w:lang w:eastAsia="zh-CN" w:bidi="ar-SA"/>
        </w:rPr>
      </w:pPr>
      <w:r>
        <w:rPr>
          <w:rFonts w:ascii="Times New Roman" w:cs="Times New Roman" w:hAnsiTheme="minorEastAsia"/>
          <w:sz w:val="24"/>
          <w:szCs w:val="24"/>
          <w:lang w:eastAsia="zh-CN" w:bidi="ar-SA"/>
        </w:rPr>
        <w:br w:type="page"/>
      </w:r>
    </w:p>
    <w:p w14:paraId="7B9F6DCF">
      <w:pPr>
        <w:pStyle w:val="2"/>
        <w:rPr>
          <w:rFonts w:hAnsi="Times New Roman"/>
          <w:color w:val="000000"/>
          <w:lang w:eastAsia="zh-CN"/>
        </w:rPr>
      </w:pPr>
      <w:bookmarkStart w:id="30" w:name="_Toc227742115"/>
      <w:r>
        <w:rPr>
          <w:lang w:eastAsia="zh-CN"/>
        </w:rPr>
        <w:t>附录4</w:t>
      </w:r>
      <w:r>
        <w:rPr>
          <w:rFonts w:hint="eastAsia" w:hAnsi="Times New Roman"/>
          <w:lang w:eastAsia="zh-CN"/>
        </w:rPr>
        <w:t xml:space="preserve">  更改控制页</w:t>
      </w:r>
      <w:bookmarkEnd w:id="30"/>
    </w:p>
    <w:p w14:paraId="6805A226">
      <w:pPr>
        <w:spacing w:beforeLines="50"/>
        <w:ind w:right="-31" w:rightChars="-14"/>
        <w:jc w:val="center"/>
        <w:rPr>
          <w:rFonts w:ascii="Times New Roman" w:hAnsi="Times New Roman" w:cs="Times New Roman"/>
          <w:b/>
          <w:bCs/>
          <w:sz w:val="28"/>
          <w:szCs w:val="28"/>
          <w:lang w:eastAsia="zh-CN"/>
        </w:rPr>
      </w:pPr>
      <w:r>
        <w:rPr>
          <w:rFonts w:ascii="Times New Roman" w:cs="Times New Roman" w:hAnsiTheme="minorEastAsia"/>
          <w:b/>
          <w:bCs/>
          <w:sz w:val="28"/>
          <w:szCs w:val="28"/>
          <w:lang w:eastAsia="zh-CN"/>
        </w:rPr>
        <w:t>更改控制页</w:t>
      </w:r>
    </w:p>
    <w:tbl>
      <w:tblPr>
        <w:tblStyle w:val="32"/>
        <w:tblW w:w="9684" w:type="dxa"/>
        <w:tblInd w:w="6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044"/>
        <w:gridCol w:w="1500"/>
        <w:gridCol w:w="4080"/>
        <w:gridCol w:w="1428"/>
        <w:gridCol w:w="1632"/>
      </w:tblGrid>
      <w:tr w14:paraId="2B34B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75" w:hRule="atLeast"/>
        </w:trPr>
        <w:tc>
          <w:tcPr>
            <w:tcW w:w="1044" w:type="dxa"/>
            <w:tcBorders>
              <w:top w:val="inset" w:color="auto" w:sz="6" w:space="0"/>
              <w:left w:val="inset" w:color="auto" w:sz="6" w:space="0"/>
              <w:right w:val="inset" w:color="auto" w:sz="6" w:space="0"/>
            </w:tcBorders>
            <w:vAlign w:val="center"/>
          </w:tcPr>
          <w:p w14:paraId="32F02AEB">
            <w:pPr>
              <w:spacing w:beforeLines="50"/>
              <w:jc w:val="center"/>
              <w:rPr>
                <w:rFonts w:ascii="Times New Roman" w:hAnsi="Times New Roman" w:cs="Times New Roman"/>
                <w:sz w:val="24"/>
                <w:szCs w:val="24"/>
              </w:rPr>
            </w:pPr>
            <w:r>
              <w:rPr>
                <w:rFonts w:ascii="Times New Roman" w:cs="Times New Roman" w:hAnsiTheme="minorEastAsia"/>
                <w:sz w:val="24"/>
                <w:szCs w:val="24"/>
              </w:rPr>
              <w:t>版本</w:t>
            </w:r>
          </w:p>
        </w:tc>
        <w:tc>
          <w:tcPr>
            <w:tcW w:w="1500" w:type="dxa"/>
            <w:tcBorders>
              <w:top w:val="inset" w:color="auto" w:sz="6" w:space="0"/>
              <w:left w:val="inset" w:color="auto" w:sz="6" w:space="0"/>
              <w:bottom w:val="single" w:color="auto" w:sz="4" w:space="0"/>
              <w:right w:val="inset" w:color="auto" w:sz="6" w:space="0"/>
            </w:tcBorders>
            <w:vAlign w:val="center"/>
          </w:tcPr>
          <w:p w14:paraId="1C315D37">
            <w:pPr>
              <w:spacing w:beforeLines="50"/>
              <w:jc w:val="center"/>
              <w:rPr>
                <w:rFonts w:ascii="Times New Roman" w:hAnsi="Times New Roman" w:cs="Times New Roman"/>
                <w:sz w:val="24"/>
                <w:szCs w:val="24"/>
              </w:rPr>
            </w:pPr>
            <w:r>
              <w:rPr>
                <w:rFonts w:ascii="Times New Roman" w:cs="Times New Roman" w:hAnsiTheme="minorEastAsia"/>
                <w:sz w:val="24"/>
                <w:szCs w:val="24"/>
              </w:rPr>
              <w:t>更改章节</w:t>
            </w:r>
          </w:p>
        </w:tc>
        <w:tc>
          <w:tcPr>
            <w:tcW w:w="4080" w:type="dxa"/>
            <w:tcBorders>
              <w:top w:val="inset" w:color="auto" w:sz="6" w:space="0"/>
              <w:left w:val="inset" w:color="auto" w:sz="6" w:space="0"/>
              <w:bottom w:val="single" w:color="auto" w:sz="4" w:space="0"/>
              <w:right w:val="inset" w:color="auto" w:sz="6" w:space="0"/>
            </w:tcBorders>
            <w:vAlign w:val="center"/>
          </w:tcPr>
          <w:p w14:paraId="209C002A">
            <w:pPr>
              <w:spacing w:beforeLines="50"/>
              <w:ind w:firstLine="1200" w:firstLineChars="500"/>
              <w:rPr>
                <w:rFonts w:ascii="Times New Roman" w:hAnsi="Times New Roman" w:cs="Times New Roman"/>
                <w:sz w:val="24"/>
                <w:szCs w:val="24"/>
              </w:rPr>
            </w:pPr>
            <w:r>
              <w:rPr>
                <w:rFonts w:ascii="Times New Roman" w:cs="Times New Roman" w:hAnsiTheme="minorEastAsia"/>
                <w:sz w:val="24"/>
                <w:szCs w:val="24"/>
              </w:rPr>
              <w:t>主要更改内容</w:t>
            </w:r>
          </w:p>
        </w:tc>
        <w:tc>
          <w:tcPr>
            <w:tcW w:w="1428" w:type="dxa"/>
            <w:tcBorders>
              <w:top w:val="inset" w:color="auto" w:sz="6" w:space="0"/>
              <w:left w:val="inset" w:color="auto" w:sz="6" w:space="0"/>
              <w:right w:val="inset" w:color="auto" w:sz="6" w:space="0"/>
            </w:tcBorders>
            <w:vAlign w:val="center"/>
          </w:tcPr>
          <w:p w14:paraId="53493782">
            <w:pPr>
              <w:spacing w:beforeLines="50"/>
              <w:jc w:val="center"/>
              <w:rPr>
                <w:rFonts w:ascii="Times New Roman" w:hAnsi="Times New Roman" w:cs="Times New Roman"/>
                <w:sz w:val="24"/>
                <w:szCs w:val="24"/>
              </w:rPr>
            </w:pPr>
            <w:r>
              <w:rPr>
                <w:rFonts w:ascii="Times New Roman" w:cs="Times New Roman" w:hAnsiTheme="minorEastAsia"/>
                <w:sz w:val="24"/>
                <w:szCs w:val="24"/>
              </w:rPr>
              <w:t>更改人员</w:t>
            </w:r>
          </w:p>
        </w:tc>
        <w:tc>
          <w:tcPr>
            <w:tcW w:w="1632" w:type="dxa"/>
            <w:tcBorders>
              <w:top w:val="inset" w:color="auto" w:sz="6" w:space="0"/>
              <w:left w:val="inset" w:color="auto" w:sz="6" w:space="0"/>
              <w:right w:val="inset" w:color="auto" w:sz="6" w:space="0"/>
            </w:tcBorders>
            <w:vAlign w:val="center"/>
          </w:tcPr>
          <w:p w14:paraId="417B3F55">
            <w:pPr>
              <w:spacing w:beforeLines="50"/>
              <w:jc w:val="center"/>
              <w:rPr>
                <w:rFonts w:ascii="Times New Roman" w:hAnsi="Times New Roman" w:cs="Times New Roman"/>
                <w:sz w:val="24"/>
                <w:szCs w:val="24"/>
              </w:rPr>
            </w:pPr>
            <w:r>
              <w:rPr>
                <w:rFonts w:ascii="Times New Roman" w:cs="Times New Roman" w:hAnsiTheme="minorEastAsia"/>
                <w:sz w:val="24"/>
                <w:szCs w:val="24"/>
              </w:rPr>
              <w:t>更改日期</w:t>
            </w:r>
          </w:p>
        </w:tc>
      </w:tr>
      <w:tr w14:paraId="316F9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37" w:hRule="atLeast"/>
        </w:trPr>
        <w:tc>
          <w:tcPr>
            <w:tcW w:w="1044" w:type="dxa"/>
            <w:tcBorders>
              <w:left w:val="inset" w:color="auto" w:sz="6" w:space="0"/>
              <w:right w:val="inset" w:color="auto" w:sz="6" w:space="0"/>
            </w:tcBorders>
            <w:vAlign w:val="center"/>
          </w:tcPr>
          <w:p w14:paraId="7C8459CB">
            <w:pPr>
              <w:spacing w:beforeLines="50"/>
              <w:jc w:val="center"/>
              <w:rPr>
                <w:rFonts w:ascii="Times New Roman" w:hAnsi="Times New Roman" w:cs="Times New Roman"/>
                <w:sz w:val="24"/>
                <w:szCs w:val="24"/>
              </w:rPr>
            </w:pPr>
            <w:r>
              <w:rPr>
                <w:rFonts w:hint="eastAsia" w:ascii="Times New Roman" w:hAnsi="Times New Roman" w:cs="Times New Roman"/>
                <w:sz w:val="24"/>
                <w:szCs w:val="24"/>
                <w:lang w:eastAsia="zh-CN"/>
              </w:rPr>
              <w:t>B/0</w:t>
            </w:r>
          </w:p>
        </w:tc>
        <w:tc>
          <w:tcPr>
            <w:tcW w:w="1500" w:type="dxa"/>
            <w:tcBorders>
              <w:left w:val="inset" w:color="auto" w:sz="6" w:space="0"/>
              <w:right w:val="inset" w:color="auto" w:sz="6" w:space="0"/>
            </w:tcBorders>
            <w:vAlign w:val="center"/>
          </w:tcPr>
          <w:p w14:paraId="4AC2F0AB">
            <w:pPr>
              <w:spacing w:beforeLines="50"/>
              <w:jc w:val="center"/>
              <w:rPr>
                <w:rFonts w:ascii="Times New Roman" w:hAnsi="Times New Roman" w:cs="Times New Roman"/>
                <w:sz w:val="24"/>
                <w:szCs w:val="24"/>
                <w:lang w:eastAsia="zh-CN"/>
              </w:rPr>
            </w:pPr>
            <w:r>
              <w:rPr>
                <w:rFonts w:ascii="Times New Roman" w:hAnsi="Times New Roman" w:cs="Times New Roman"/>
                <w:sz w:val="24"/>
                <w:szCs w:val="24"/>
              </w:rPr>
              <w:t>全部</w:t>
            </w:r>
          </w:p>
        </w:tc>
        <w:tc>
          <w:tcPr>
            <w:tcW w:w="4080" w:type="dxa"/>
            <w:tcBorders>
              <w:left w:val="inset" w:color="auto" w:sz="6" w:space="0"/>
              <w:right w:val="inset" w:color="auto" w:sz="6" w:space="0"/>
            </w:tcBorders>
            <w:vAlign w:val="center"/>
          </w:tcPr>
          <w:p w14:paraId="7578640B">
            <w:pPr>
              <w:spacing w:beforeLines="50"/>
              <w:jc w:val="center"/>
              <w:rPr>
                <w:rFonts w:ascii="Times New Roman" w:hAnsi="Times New Roman" w:cs="Times New Roman"/>
                <w:sz w:val="24"/>
                <w:szCs w:val="24"/>
              </w:rPr>
            </w:pPr>
            <w:r>
              <w:rPr>
                <w:rFonts w:ascii="Times New Roman" w:hAnsi="Times New Roman" w:cs="Times New Roman"/>
                <w:sz w:val="24"/>
                <w:szCs w:val="24"/>
              </w:rPr>
              <w:t>大部分内容</w:t>
            </w:r>
          </w:p>
        </w:tc>
        <w:tc>
          <w:tcPr>
            <w:tcW w:w="1428" w:type="dxa"/>
            <w:tcBorders>
              <w:left w:val="inset" w:color="auto" w:sz="6" w:space="0"/>
              <w:right w:val="inset" w:color="auto" w:sz="6" w:space="0"/>
            </w:tcBorders>
            <w:vAlign w:val="center"/>
          </w:tcPr>
          <w:p w14:paraId="4B954224">
            <w:pPr>
              <w:spacing w:beforeLines="50"/>
              <w:jc w:val="center"/>
              <w:rPr>
                <w:rFonts w:ascii="Times New Roman" w:hAnsi="Times New Roman" w:cs="Times New Roman"/>
                <w:sz w:val="24"/>
                <w:szCs w:val="24"/>
                <w:lang w:eastAsia="zh-CN"/>
              </w:rPr>
            </w:pPr>
            <w:r>
              <w:rPr>
                <w:rFonts w:ascii="Times New Roman" w:hAnsi="Times New Roman" w:cs="Times New Roman"/>
                <w:sz w:val="24"/>
                <w:szCs w:val="24"/>
                <w:lang w:eastAsia="zh-CN"/>
              </w:rPr>
              <w:t>刘顺桥</w:t>
            </w:r>
          </w:p>
        </w:tc>
        <w:tc>
          <w:tcPr>
            <w:tcW w:w="1632" w:type="dxa"/>
            <w:tcBorders>
              <w:left w:val="inset" w:color="auto" w:sz="6" w:space="0"/>
              <w:right w:val="inset" w:color="auto" w:sz="6" w:space="0"/>
            </w:tcBorders>
            <w:vAlign w:val="center"/>
          </w:tcPr>
          <w:p w14:paraId="7B271EB3">
            <w:pPr>
              <w:spacing w:beforeLines="50"/>
              <w:jc w:val="center"/>
              <w:rPr>
                <w:rFonts w:ascii="Times New Roman" w:hAnsi="Times New Roman" w:cs="Times New Roman"/>
                <w:sz w:val="24"/>
                <w:szCs w:val="24"/>
                <w:lang w:eastAsia="zh-CN"/>
              </w:rPr>
            </w:pPr>
            <w:r>
              <w:rPr>
                <w:rFonts w:ascii="Times New Roman" w:hAnsi="Times New Roman" w:cs="Times New Roman"/>
                <w:bCs/>
                <w:sz w:val="24"/>
                <w:szCs w:val="24"/>
                <w:lang w:eastAsia="zh-CN"/>
              </w:rPr>
              <w:t>2025-03-28</w:t>
            </w:r>
          </w:p>
        </w:tc>
      </w:tr>
      <w:tr w14:paraId="38D8C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37" w:hRule="atLeast"/>
        </w:trPr>
        <w:tc>
          <w:tcPr>
            <w:tcW w:w="1044" w:type="dxa"/>
            <w:tcBorders>
              <w:left w:val="inset" w:color="auto" w:sz="6" w:space="0"/>
              <w:bottom w:val="inset" w:color="auto" w:sz="6" w:space="0"/>
              <w:right w:val="inset" w:color="auto" w:sz="6" w:space="0"/>
            </w:tcBorders>
          </w:tcPr>
          <w:p w14:paraId="049DC7BB">
            <w:pPr>
              <w:spacing w:beforeLines="50"/>
              <w:jc w:val="center"/>
              <w:rPr>
                <w:rFonts w:ascii="Times New Roman" w:hAnsi="Times New Roman" w:cs="Times New Roman"/>
                <w:sz w:val="24"/>
                <w:szCs w:val="24"/>
              </w:rPr>
            </w:pPr>
            <w:r>
              <w:rPr>
                <w:rFonts w:ascii="Times New Roman" w:hAnsi="Times New Roman" w:cs="Times New Roman"/>
                <w:sz w:val="24"/>
                <w:szCs w:val="24"/>
              </w:rPr>
              <w:t>B/1</w:t>
            </w:r>
          </w:p>
        </w:tc>
        <w:tc>
          <w:tcPr>
            <w:tcW w:w="1500" w:type="dxa"/>
            <w:tcBorders>
              <w:left w:val="inset" w:color="auto" w:sz="6" w:space="0"/>
              <w:bottom w:val="inset" w:color="auto" w:sz="6" w:space="0"/>
              <w:right w:val="inset" w:color="auto" w:sz="6" w:space="0"/>
            </w:tcBorders>
          </w:tcPr>
          <w:p w14:paraId="6758A6C2">
            <w:pPr>
              <w:pStyle w:val="99"/>
              <w:spacing w:beforeLines="50"/>
              <w:jc w:val="center"/>
              <w:rPr>
                <w:rFonts w:ascii="Times New Roman" w:hAnsi="Times New Roman" w:cs="Times New Roman" w:eastAsiaTheme="minorEastAsia"/>
                <w:snapToGrid/>
                <w:color w:val="auto"/>
                <w:lang w:bidi="en-US"/>
              </w:rPr>
            </w:pPr>
            <w:r>
              <w:rPr>
                <w:rFonts w:ascii="Times New Roman" w:hAnsi="Times New Roman" w:cs="Times New Roman" w:eastAsiaTheme="minorEastAsia"/>
                <w:snapToGrid/>
                <w:color w:val="auto"/>
                <w:lang w:bidi="en-US"/>
              </w:rPr>
              <w:t>全部</w:t>
            </w:r>
          </w:p>
        </w:tc>
        <w:tc>
          <w:tcPr>
            <w:tcW w:w="4080" w:type="dxa"/>
            <w:tcBorders>
              <w:left w:val="inset" w:color="auto" w:sz="6" w:space="0"/>
              <w:bottom w:val="inset" w:color="auto" w:sz="6" w:space="0"/>
              <w:right w:val="inset" w:color="auto" w:sz="6" w:space="0"/>
            </w:tcBorders>
          </w:tcPr>
          <w:p w14:paraId="704160F7">
            <w:pPr>
              <w:pStyle w:val="99"/>
              <w:spacing w:beforeLines="50"/>
              <w:jc w:val="center"/>
              <w:rPr>
                <w:rFonts w:ascii="Times New Roman" w:hAnsi="Times New Roman" w:cs="Times New Roman" w:eastAsiaTheme="minorEastAsia"/>
                <w:snapToGrid/>
                <w:color w:val="auto"/>
                <w:lang w:bidi="en-US"/>
              </w:rPr>
            </w:pPr>
            <w:r>
              <w:rPr>
                <w:rFonts w:ascii="Times New Roman" w:hAnsi="Times New Roman" w:cs="Times New Roman" w:eastAsiaTheme="minorEastAsia"/>
                <w:snapToGrid/>
                <w:color w:val="auto"/>
                <w:lang w:bidi="en-US"/>
              </w:rPr>
              <w:t>大部分内容</w:t>
            </w:r>
          </w:p>
        </w:tc>
        <w:tc>
          <w:tcPr>
            <w:tcW w:w="1428" w:type="dxa"/>
            <w:tcBorders>
              <w:left w:val="inset" w:color="auto" w:sz="6" w:space="0"/>
              <w:bottom w:val="inset" w:color="auto" w:sz="6" w:space="0"/>
              <w:right w:val="inset" w:color="auto" w:sz="6" w:space="0"/>
            </w:tcBorders>
          </w:tcPr>
          <w:p w14:paraId="2B5E0575">
            <w:pPr>
              <w:pStyle w:val="99"/>
              <w:spacing w:beforeLines="50"/>
              <w:jc w:val="center"/>
              <w:rPr>
                <w:rFonts w:ascii="Times New Roman" w:hAnsi="Times New Roman" w:cs="Times New Roman" w:eastAsiaTheme="minorEastAsia"/>
                <w:snapToGrid/>
                <w:color w:val="auto"/>
                <w:lang w:bidi="en-US"/>
              </w:rPr>
            </w:pPr>
            <w:r>
              <w:rPr>
                <w:rFonts w:ascii="Times New Roman" w:hAnsi="Times New Roman" w:cs="Times New Roman" w:eastAsiaTheme="minorEastAsia"/>
                <w:snapToGrid/>
                <w:color w:val="auto"/>
                <w:lang w:bidi="en-US"/>
              </w:rPr>
              <w:t>刘顺桥</w:t>
            </w:r>
          </w:p>
        </w:tc>
        <w:tc>
          <w:tcPr>
            <w:tcW w:w="1632" w:type="dxa"/>
            <w:tcBorders>
              <w:left w:val="inset" w:color="auto" w:sz="6" w:space="0"/>
              <w:bottom w:val="inset" w:color="auto" w:sz="6" w:space="0"/>
              <w:right w:val="inset" w:color="auto" w:sz="6" w:space="0"/>
            </w:tcBorders>
          </w:tcPr>
          <w:p w14:paraId="3B5D2379">
            <w:pPr>
              <w:spacing w:beforeLines="50"/>
              <w:jc w:val="center"/>
              <w:rPr>
                <w:rFonts w:ascii="Times New Roman" w:hAnsi="Times New Roman" w:cs="Times New Roman"/>
                <w:sz w:val="24"/>
                <w:szCs w:val="24"/>
              </w:rPr>
            </w:pPr>
            <w:r>
              <w:rPr>
                <w:rFonts w:ascii="Times New Roman" w:hAnsi="Times New Roman" w:cs="Times New Roman"/>
                <w:sz w:val="24"/>
                <w:szCs w:val="24"/>
              </w:rPr>
              <w:t>2025-08-18</w:t>
            </w:r>
          </w:p>
        </w:tc>
      </w:tr>
      <w:tr w14:paraId="63CD6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37" w:hRule="atLeast"/>
        </w:trPr>
        <w:tc>
          <w:tcPr>
            <w:tcW w:w="1044" w:type="dxa"/>
            <w:tcBorders>
              <w:left w:val="inset" w:color="auto" w:sz="6" w:space="0"/>
              <w:bottom w:val="inset" w:color="auto" w:sz="6" w:space="0"/>
              <w:right w:val="inset" w:color="auto" w:sz="6" w:space="0"/>
            </w:tcBorders>
            <w:vAlign w:val="center"/>
          </w:tcPr>
          <w:p w14:paraId="192E5BD2">
            <w:pPr>
              <w:spacing w:beforeLines="50"/>
              <w:jc w:val="center"/>
              <w:rPr>
                <w:rFonts w:ascii="Times New Roman" w:hAnsi="Times New Roman" w:cs="Times New Roman"/>
                <w:sz w:val="24"/>
                <w:szCs w:val="24"/>
                <w:lang w:eastAsia="zh-CN"/>
              </w:rPr>
            </w:pPr>
            <w:r>
              <w:rPr>
                <w:rFonts w:hint="eastAsia" w:ascii="Times New Roman" w:hAnsi="Times New Roman" w:cs="Times New Roman"/>
                <w:sz w:val="24"/>
                <w:szCs w:val="24"/>
                <w:lang w:eastAsia="zh-CN"/>
              </w:rPr>
              <w:t>C/0</w:t>
            </w:r>
          </w:p>
        </w:tc>
        <w:tc>
          <w:tcPr>
            <w:tcW w:w="1500" w:type="dxa"/>
            <w:tcBorders>
              <w:left w:val="inset" w:color="auto" w:sz="6" w:space="0"/>
              <w:bottom w:val="inset" w:color="auto" w:sz="6" w:space="0"/>
              <w:right w:val="inset" w:color="auto" w:sz="6" w:space="0"/>
            </w:tcBorders>
            <w:vAlign w:val="center"/>
          </w:tcPr>
          <w:p w14:paraId="71629F28">
            <w:pPr>
              <w:spacing w:beforeLines="50"/>
              <w:jc w:val="center"/>
              <w:rPr>
                <w:rFonts w:ascii="Times New Roman" w:hAnsi="Times New Roman" w:cs="Times New Roman"/>
                <w:sz w:val="24"/>
                <w:szCs w:val="24"/>
                <w:lang w:eastAsia="zh-CN"/>
              </w:rPr>
            </w:pPr>
            <w:r>
              <w:rPr>
                <w:rFonts w:hint="eastAsia" w:ascii="Times New Roman" w:hAnsi="Times New Roman" w:cs="Times New Roman"/>
                <w:sz w:val="24"/>
                <w:szCs w:val="24"/>
                <w:lang w:eastAsia="zh-CN"/>
              </w:rPr>
              <w:t>全部</w:t>
            </w:r>
          </w:p>
        </w:tc>
        <w:tc>
          <w:tcPr>
            <w:tcW w:w="4080" w:type="dxa"/>
            <w:tcBorders>
              <w:left w:val="inset" w:color="auto" w:sz="6" w:space="0"/>
              <w:bottom w:val="inset" w:color="auto" w:sz="6" w:space="0"/>
              <w:right w:val="inset" w:color="auto" w:sz="6" w:space="0"/>
            </w:tcBorders>
            <w:vAlign w:val="center"/>
          </w:tcPr>
          <w:p w14:paraId="728BAC60">
            <w:pPr>
              <w:spacing w:beforeLines="50"/>
              <w:jc w:val="center"/>
              <w:rPr>
                <w:rFonts w:ascii="Times New Roman" w:hAnsi="Times New Roman" w:cs="Times New Roman"/>
                <w:sz w:val="24"/>
                <w:szCs w:val="24"/>
                <w:lang w:eastAsia="zh-CN"/>
              </w:rPr>
            </w:pPr>
            <w:r>
              <w:rPr>
                <w:rFonts w:hint="eastAsia" w:ascii="Times New Roman" w:hAnsi="Times New Roman" w:cs="Times New Roman"/>
                <w:sz w:val="24"/>
                <w:szCs w:val="24"/>
                <w:lang w:eastAsia="zh-CN"/>
              </w:rPr>
              <w:t>依新版《质量管理体系认证规则》进行全文修改</w:t>
            </w:r>
          </w:p>
        </w:tc>
        <w:tc>
          <w:tcPr>
            <w:tcW w:w="1428" w:type="dxa"/>
            <w:tcBorders>
              <w:left w:val="inset" w:color="auto" w:sz="6" w:space="0"/>
              <w:bottom w:val="inset" w:color="auto" w:sz="6" w:space="0"/>
              <w:right w:val="inset" w:color="auto" w:sz="6" w:space="0"/>
            </w:tcBorders>
            <w:vAlign w:val="center"/>
          </w:tcPr>
          <w:p w14:paraId="4336E8D4">
            <w:pPr>
              <w:spacing w:beforeLines="50"/>
              <w:jc w:val="center"/>
              <w:rPr>
                <w:rFonts w:ascii="Times New Roman" w:hAnsi="Times New Roman" w:cs="Times New Roman"/>
                <w:sz w:val="24"/>
                <w:szCs w:val="24"/>
                <w:lang w:eastAsia="zh-CN"/>
              </w:rPr>
            </w:pPr>
            <w:r>
              <w:rPr>
                <w:rFonts w:hint="eastAsia" w:ascii="Times New Roman" w:hAnsi="Times New Roman" w:cs="Times New Roman"/>
                <w:sz w:val="24"/>
                <w:szCs w:val="24"/>
                <w:lang w:eastAsia="zh-CN"/>
              </w:rPr>
              <w:t>刘顺桥</w:t>
            </w:r>
          </w:p>
        </w:tc>
        <w:tc>
          <w:tcPr>
            <w:tcW w:w="1632" w:type="dxa"/>
            <w:tcBorders>
              <w:left w:val="inset" w:color="auto" w:sz="6" w:space="0"/>
              <w:bottom w:val="inset" w:color="auto" w:sz="6" w:space="0"/>
              <w:right w:val="inset" w:color="auto" w:sz="6" w:space="0"/>
            </w:tcBorders>
            <w:vAlign w:val="center"/>
          </w:tcPr>
          <w:p w14:paraId="312A00CF">
            <w:pPr>
              <w:spacing w:beforeLines="50"/>
              <w:jc w:val="center"/>
              <w:rPr>
                <w:rFonts w:ascii="Times New Roman" w:hAnsi="Times New Roman" w:cs="Times New Roman"/>
                <w:bCs/>
                <w:sz w:val="24"/>
                <w:szCs w:val="24"/>
                <w:lang w:eastAsia="zh-CN"/>
              </w:rPr>
            </w:pPr>
            <w:r>
              <w:rPr>
                <w:rFonts w:hint="eastAsia" w:ascii="Times New Roman" w:hAnsi="Times New Roman" w:cs="Times New Roman"/>
                <w:bCs/>
                <w:sz w:val="24"/>
                <w:szCs w:val="24"/>
                <w:lang w:eastAsia="zh-CN"/>
              </w:rPr>
              <w:t>2026-04-08</w:t>
            </w:r>
          </w:p>
        </w:tc>
      </w:tr>
    </w:tbl>
    <w:p w14:paraId="5AFC60DF">
      <w:pPr>
        <w:spacing w:line="460" w:lineRule="exact"/>
        <w:ind w:right="-31" w:rightChars="-14"/>
        <w:rPr>
          <w:b/>
          <w:bCs/>
          <w:sz w:val="32"/>
          <w:szCs w:val="32"/>
          <w:lang w:eastAsia="zh-CN"/>
        </w:rPr>
      </w:pPr>
    </w:p>
    <w:p w14:paraId="1476D81B">
      <w:pPr>
        <w:jc w:val="both"/>
        <w:rPr>
          <w:rFonts w:asciiTheme="minorEastAsia" w:hAnsiTheme="minorEastAsia"/>
          <w:sz w:val="21"/>
          <w:szCs w:val="21"/>
          <w:lang w:eastAsia="zh-CN"/>
        </w:rPr>
      </w:pPr>
    </w:p>
    <w:sectPr>
      <w:headerReference r:id="rId6" w:type="first"/>
      <w:headerReference r:id="rId4" w:type="default"/>
      <w:headerReference r:id="rId5" w:type="even"/>
      <w:pgSz w:w="11906" w:h="16838"/>
      <w:pgMar w:top="1134" w:right="1020" w:bottom="567" w:left="102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swiss"/>
    <w:pitch w:val="default"/>
    <w:sig w:usb0="800002BF" w:usb1="38CF7CFA" w:usb2="00000016" w:usb3="00000000" w:csb0="00040001" w:csb1="00000000"/>
  </w:font>
  <w:font w:name="方正粗宋_GBK">
    <w:altName w:val="宋体"/>
    <w:panose1 w:val="00000000000000000000"/>
    <w:charset w:val="86"/>
    <w:family w:val="script"/>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0000000000000000000"/>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32"/>
      <w:tblW w:w="9900" w:type="dxa"/>
      <w:tblInd w:w="108"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814"/>
      <w:gridCol w:w="5105"/>
      <w:gridCol w:w="2981"/>
    </w:tblGrid>
    <w:tr w14:paraId="1B061691">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15" w:hRule="atLeast"/>
      </w:trPr>
      <w:tc>
        <w:tcPr>
          <w:tcW w:w="1644" w:type="dxa"/>
          <w:vMerge w:val="restart"/>
          <w:vAlign w:val="center"/>
        </w:tcPr>
        <w:p w14:paraId="0DE0D4AC">
          <w:pPr>
            <w:jc w:val="center"/>
            <w:rPr>
              <w:rFonts w:ascii="华文中宋" w:hAnsi="华文中宋" w:eastAsia="华文中宋"/>
              <w:b/>
              <w:bCs/>
              <w:sz w:val="28"/>
              <w:szCs w:val="28"/>
            </w:rPr>
          </w:pPr>
          <w:r>
            <w:rPr>
              <w:lang w:eastAsia="zh-CN" w:bidi="ar-SA"/>
            </w:rPr>
            <w:pict>
              <v:shape id="WordPictureWatermark33931654" o:spid="_x0000_s106499" o:spt="75" type="#_x0000_t75" style="position:absolute;left:0pt;height:348.3pt;width:493.25pt;mso-position-horizontal:center;mso-position-horizontal-relative:margin;mso-position-vertical:center;mso-position-vertical-relative:margin;z-index:-251646976;mso-width-relative:page;mso-height-relative:page;" filled="f" o:preferrelative="t" stroked="f" coordsize="21600,21600" o:allowincell="f">
                <v:path/>
                <v:fill on="f" focussize="0,0"/>
                <v:stroke on="f" joinstyle="miter"/>
                <v:imagedata r:id="rId1" gain="19661f" blacklevel="22938f" o:title="S&amp;P"/>
                <o:lock v:ext="edit" aspectratio="t"/>
              </v:shape>
            </w:pict>
          </w:r>
          <w:r>
            <w:rPr>
              <w:lang w:eastAsia="zh-CN" w:bidi="ar-SA"/>
            </w:rPr>
            <w:drawing>
              <wp:inline distT="0" distB="0" distL="0" distR="0">
                <wp:extent cx="995680" cy="701675"/>
                <wp:effectExtent l="19050" t="0" r="0" b="0"/>
                <wp:docPr id="6" name="图片 3" descr="F:\01 各认证机构资料\06 标普认证\证书\胡国明发来样板\S&amp;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descr="F:\01 各认证机构资料\06 标普认证\证书\胡国明发来样板\S&amp;P.jpg"/>
                        <pic:cNvPicPr>
                          <a:picLocks noChangeAspect="1" noChangeArrowheads="1"/>
                        </pic:cNvPicPr>
                      </pic:nvPicPr>
                      <pic:blipFill>
                        <a:blip r:embed="rId1"/>
                        <a:srcRect/>
                        <a:stretch>
                          <a:fillRect/>
                        </a:stretch>
                      </pic:blipFill>
                      <pic:spPr>
                        <a:xfrm>
                          <a:off x="0" y="0"/>
                          <a:ext cx="1002056" cy="705965"/>
                        </a:xfrm>
                        <a:prstGeom prst="rect">
                          <a:avLst/>
                        </a:prstGeom>
                        <a:noFill/>
                        <a:ln w="9525">
                          <a:noFill/>
                          <a:miter lim="800000"/>
                          <a:headEnd/>
                          <a:tailEnd/>
                        </a:ln>
                      </pic:spPr>
                    </pic:pic>
                  </a:graphicData>
                </a:graphic>
              </wp:inline>
            </w:drawing>
          </w:r>
        </w:p>
      </w:tc>
      <w:tc>
        <w:tcPr>
          <w:tcW w:w="5203" w:type="dxa"/>
          <w:vAlign w:val="center"/>
        </w:tcPr>
        <w:sdt>
          <w:sdtPr>
            <w:rPr>
              <w:rFonts w:hint="eastAsia" w:ascii="黑体" w:hAnsi="黑体" w:eastAsia="黑体"/>
              <w:color w:val="000000" w:themeColor="text1"/>
              <w:sz w:val="24"/>
              <w:szCs w:val="24"/>
              <w:lang w:eastAsia="zh-CN"/>
            </w:rPr>
            <w:alias w:val="标题"/>
            <w:id w:val="147481592"/>
            <w:dataBinding w:prefixMappings="xmlns:ns0='http://schemas.openxmlformats.org/package/2006/metadata/core-properties' xmlns:ns1='http://purl.org/dc/elements/1.1/'" w:xpath="/ns0:coreProperties[1]/ns1:title[1]" w:storeItemID="{6C3C8BC8-F283-45AE-878A-BAB7291924A1}"/>
            <w:text/>
          </w:sdtPr>
          <w:sdtEndPr>
            <w:rPr>
              <w:rFonts w:hint="eastAsia" w:ascii="黑体" w:hAnsi="黑体" w:eastAsia="黑体"/>
              <w:color w:val="000000" w:themeColor="text1"/>
              <w:sz w:val="24"/>
              <w:szCs w:val="24"/>
              <w:lang w:eastAsia="zh-CN"/>
            </w:rPr>
          </w:sdtEndPr>
          <w:sdtContent>
            <w:p w14:paraId="551B2752">
              <w:pPr>
                <w:spacing w:after="0"/>
                <w:jc w:val="center"/>
                <w:rPr>
                  <w:rFonts w:ascii="黑体" w:hAnsi="黑体" w:eastAsia="黑体"/>
                  <w:color w:val="000000" w:themeColor="text1"/>
                  <w:sz w:val="36"/>
                  <w:szCs w:val="36"/>
                  <w:lang w:eastAsia="zh-CN"/>
                </w:rPr>
              </w:pPr>
              <w:r>
                <w:rPr>
                  <w:rFonts w:hint="eastAsia" w:ascii="黑体" w:hAnsi="黑体" w:eastAsia="黑体"/>
                  <w:color w:val="000000" w:themeColor="text1"/>
                  <w:sz w:val="24"/>
                  <w:szCs w:val="24"/>
                  <w:lang w:eastAsia="zh-CN"/>
                </w:rPr>
                <w:t>有害物质过程管理体系认证实施规则</w:t>
              </w:r>
            </w:p>
          </w:sdtContent>
        </w:sdt>
      </w:tc>
      <w:tc>
        <w:tcPr>
          <w:tcW w:w="3053" w:type="dxa"/>
          <w:vAlign w:val="center"/>
        </w:tcPr>
        <w:p w14:paraId="7539E157">
          <w:pPr>
            <w:spacing w:after="0"/>
            <w:jc w:val="center"/>
            <w:rPr>
              <w:rFonts w:ascii="黑体" w:hAnsi="黑体" w:eastAsia="黑体"/>
              <w:spacing w:val="-12"/>
              <w:sz w:val="24"/>
              <w:szCs w:val="24"/>
              <w:lang w:eastAsia="zh-CN"/>
            </w:rPr>
          </w:pPr>
          <w:r>
            <w:rPr>
              <w:rFonts w:hint="eastAsia" w:ascii="黑体" w:hAnsi="黑体" w:eastAsia="黑体"/>
              <w:color w:val="000000"/>
              <w:spacing w:val="-20"/>
              <w:sz w:val="24"/>
              <w:szCs w:val="24"/>
            </w:rPr>
            <w:t xml:space="preserve">版   </w:t>
          </w:r>
          <w:r>
            <w:rPr>
              <w:rFonts w:hint="eastAsia" w:ascii="黑体" w:hAnsi="黑体" w:eastAsia="黑体"/>
              <w:spacing w:val="-12"/>
              <w:sz w:val="24"/>
              <w:szCs w:val="24"/>
            </w:rPr>
            <w:t>本：</w:t>
          </w:r>
          <w:r>
            <w:rPr>
              <w:rFonts w:hint="eastAsia" w:ascii="Times New Roman" w:hAnsi="Times New Roman" w:eastAsia="黑体" w:cs="Times New Roman"/>
              <w:spacing w:val="-12"/>
              <w:sz w:val="24"/>
              <w:szCs w:val="24"/>
              <w:lang w:eastAsia="zh-CN"/>
            </w:rPr>
            <w:t>C</w:t>
          </w:r>
          <w:r>
            <w:rPr>
              <w:rFonts w:ascii="Times New Roman" w:hAnsi="Times New Roman" w:eastAsia="黑体" w:cs="Times New Roman"/>
              <w:spacing w:val="-12"/>
              <w:sz w:val="24"/>
              <w:szCs w:val="24"/>
              <w:lang w:eastAsia="zh-CN"/>
            </w:rPr>
            <w:t>/0</w:t>
          </w:r>
        </w:p>
      </w:tc>
    </w:tr>
    <w:tr w14:paraId="5A4A1DAF">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515" w:hRule="atLeast"/>
      </w:trPr>
      <w:tc>
        <w:tcPr>
          <w:tcW w:w="1644" w:type="dxa"/>
          <w:vMerge w:val="continue"/>
        </w:tcPr>
        <w:p w14:paraId="76DC697C">
          <w:pPr>
            <w:spacing w:line="440" w:lineRule="exact"/>
            <w:jc w:val="center"/>
            <w:rPr>
              <w:rFonts w:eastAsia="楷体_GB2312"/>
              <w:b/>
              <w:bCs/>
              <w:sz w:val="32"/>
              <w:lang w:eastAsia="zh-CN"/>
            </w:rPr>
          </w:pPr>
        </w:p>
      </w:tc>
      <w:tc>
        <w:tcPr>
          <w:tcW w:w="5203" w:type="dxa"/>
          <w:vAlign w:val="center"/>
        </w:tcPr>
        <w:p w14:paraId="5774FCC5">
          <w:pPr>
            <w:spacing w:after="0"/>
            <w:jc w:val="center"/>
            <w:rPr>
              <w:rFonts w:ascii="黑体" w:hAnsi="黑体" w:eastAsia="黑体"/>
              <w:bCs/>
              <w:sz w:val="24"/>
              <w:szCs w:val="24"/>
              <w:lang w:eastAsia="zh-CN"/>
            </w:rPr>
          </w:pPr>
          <w:r>
            <w:rPr>
              <w:rFonts w:hint="eastAsia" w:ascii="黑体" w:hAnsi="黑体" w:eastAsia="黑体"/>
              <w:bCs/>
              <w:sz w:val="24"/>
              <w:szCs w:val="24"/>
              <w:lang w:eastAsia="zh-CN"/>
            </w:rPr>
            <w:t>文件编号：</w:t>
          </w:r>
          <w:sdt>
            <w:sdtPr>
              <w:rPr>
                <w:rFonts w:ascii="Times New Roman" w:hAnsi="Times New Roman" w:eastAsia="黑体" w:cs="Times New Roman"/>
                <w:sz w:val="24"/>
                <w:szCs w:val="24"/>
                <w:lang w:eastAsia="zh-CN"/>
              </w:rPr>
              <w:alias w:val="副标题"/>
              <w:id w:val="1925146377"/>
              <w:dataBinding w:prefixMappings="xmlns:ns0='http://schemas.openxmlformats.org/package/2006/metadata/core-properties' xmlns:ns1='http://purl.org/dc/elements/1.1/'" w:xpath="/ns0:coreProperties[1]/ns1:subject[1]" w:storeItemID="{6C3C8BC8-F283-45AE-878A-BAB7291924A1}"/>
              <w:text/>
            </w:sdtPr>
            <w:sdtEndPr>
              <w:rPr>
                <w:rFonts w:ascii="Times New Roman" w:hAnsi="Times New Roman" w:eastAsia="黑体" w:cs="Times New Roman"/>
                <w:sz w:val="24"/>
                <w:szCs w:val="24"/>
                <w:lang w:eastAsia="zh-CN"/>
              </w:rPr>
            </w:sdtEndPr>
            <w:sdtContent>
              <w:r>
                <w:rPr>
                  <w:rFonts w:hint="eastAsia" w:ascii="Times New Roman" w:hAnsi="Times New Roman" w:eastAsia="黑体" w:cs="Times New Roman"/>
                  <w:sz w:val="24"/>
                  <w:szCs w:val="24"/>
                  <w:lang w:eastAsia="zh-CN"/>
                </w:rPr>
                <w:t>S&amp;P-XZ-79-2025</w:t>
              </w:r>
            </w:sdtContent>
          </w:sdt>
        </w:p>
      </w:tc>
      <w:tc>
        <w:tcPr>
          <w:tcW w:w="3053" w:type="dxa"/>
          <w:vAlign w:val="center"/>
        </w:tcPr>
        <w:p w14:paraId="353AC026">
          <w:pPr>
            <w:jc w:val="center"/>
            <w:rPr>
              <w:rFonts w:ascii="Times New Roman" w:hAnsi="Times New Roman" w:cs="Times New Roman"/>
              <w:lang w:eastAsia="zh-CN"/>
            </w:rPr>
          </w:pPr>
          <w:r>
            <w:rPr>
              <w:rFonts w:ascii="Times New Roman" w:hAnsi="黑体" w:eastAsia="黑体" w:cs="Times New Roman"/>
              <w:spacing w:val="-20"/>
              <w:sz w:val="24"/>
              <w:szCs w:val="24"/>
              <w:lang w:eastAsia="zh-CN"/>
            </w:rPr>
            <w:t>第</w:t>
          </w:r>
          <w:r>
            <w:rPr>
              <w:rFonts w:ascii="Times New Roman" w:hAnsi="Times New Roman" w:eastAsia="黑体" w:cs="Times New Roman"/>
              <w:spacing w:val="-20"/>
              <w:sz w:val="24"/>
              <w:szCs w:val="24"/>
              <w:lang w:eastAsia="zh-CN"/>
            </w:rPr>
            <w:fldChar w:fldCharType="begin"/>
          </w:r>
          <w:r>
            <w:rPr>
              <w:rFonts w:ascii="Times New Roman" w:hAnsi="Times New Roman" w:eastAsia="黑体" w:cs="Times New Roman"/>
              <w:spacing w:val="-20"/>
              <w:sz w:val="24"/>
              <w:szCs w:val="24"/>
              <w:lang w:eastAsia="zh-CN"/>
            </w:rPr>
            <w:instrText xml:space="preserve"> PAGE   \* MERGEFORMAT </w:instrText>
          </w:r>
          <w:r>
            <w:rPr>
              <w:rFonts w:ascii="Times New Roman" w:hAnsi="Times New Roman" w:eastAsia="黑体" w:cs="Times New Roman"/>
              <w:spacing w:val="-20"/>
              <w:sz w:val="24"/>
              <w:szCs w:val="24"/>
              <w:lang w:eastAsia="zh-CN"/>
            </w:rPr>
            <w:fldChar w:fldCharType="separate"/>
          </w:r>
          <w:r>
            <w:rPr>
              <w:rFonts w:ascii="Times New Roman" w:hAnsi="Times New Roman" w:eastAsia="黑体" w:cs="Times New Roman"/>
              <w:spacing w:val="-20"/>
              <w:sz w:val="24"/>
              <w:szCs w:val="24"/>
              <w:lang w:val="zh-CN" w:eastAsia="zh-CN"/>
            </w:rPr>
            <w:t>2</w:t>
          </w:r>
          <w:r>
            <w:rPr>
              <w:rFonts w:ascii="Times New Roman" w:hAnsi="Times New Roman" w:eastAsia="黑体" w:cs="Times New Roman"/>
              <w:spacing w:val="-20"/>
              <w:sz w:val="24"/>
              <w:szCs w:val="24"/>
              <w:lang w:eastAsia="zh-CN"/>
            </w:rPr>
            <w:fldChar w:fldCharType="end"/>
          </w:r>
          <w:r>
            <w:rPr>
              <w:rFonts w:ascii="Times New Roman" w:hAnsi="黑体" w:eastAsia="黑体" w:cs="Times New Roman"/>
              <w:spacing w:val="-20"/>
              <w:sz w:val="24"/>
              <w:szCs w:val="24"/>
              <w:lang w:eastAsia="zh-CN"/>
            </w:rPr>
            <w:t>页</w:t>
          </w:r>
          <w:r>
            <w:rPr>
              <w:rFonts w:ascii="Times New Roman" w:hAnsi="Times New Roman" w:eastAsia="黑体" w:cs="Times New Roman"/>
              <w:spacing w:val="-20"/>
              <w:sz w:val="24"/>
              <w:szCs w:val="24"/>
              <w:lang w:eastAsia="zh-CN"/>
            </w:rPr>
            <w:t xml:space="preserve">    </w:t>
          </w:r>
          <w:r>
            <w:rPr>
              <w:rFonts w:ascii="Times New Roman" w:hAnsi="黑体" w:eastAsia="黑体" w:cs="Times New Roman"/>
              <w:spacing w:val="-20"/>
              <w:sz w:val="24"/>
              <w:szCs w:val="24"/>
              <w:lang w:eastAsia="zh-CN"/>
            </w:rPr>
            <w:t>共</w:t>
          </w:r>
          <w:sdt>
            <w:sdtPr>
              <w:rPr>
                <w:rFonts w:ascii="Times New Roman" w:hAnsi="Times New Roman" w:cs="Times New Roman"/>
                <w:lang w:eastAsia="zh-CN"/>
              </w:rPr>
              <w:id w:val="250395305"/>
              <w:docPartObj>
                <w:docPartGallery w:val="AutoText"/>
              </w:docPartObj>
            </w:sdtPr>
            <w:sdtEndPr>
              <w:rPr>
                <w:rFonts w:ascii="Times New Roman" w:hAnsi="Times New Roman" w:cs="Times New Roman"/>
                <w:lang w:eastAsia="zh-CN"/>
              </w:rPr>
            </w:sdtEndPr>
            <w:sdtContent>
              <w:r>
                <w:rPr>
                  <w:rFonts w:ascii="Times New Roman" w:hAnsi="Times New Roman" w:cs="Times New Roman"/>
                  <w:lang w:val="zh-CN" w:eastAsia="zh-CN"/>
                </w:rPr>
                <w:t xml:space="preserve"> </w:t>
              </w:r>
              <w:r>
                <w:rPr>
                  <w:rFonts w:ascii="Times New Roman" w:hAnsi="Times New Roman" w:cs="Times New Roman"/>
                  <w:lang w:eastAsia="zh-CN"/>
                </w:rPr>
                <w:fldChar w:fldCharType="begin"/>
              </w:r>
              <w:r>
                <w:rPr>
                  <w:rFonts w:ascii="Times New Roman" w:hAnsi="Times New Roman" w:cs="Times New Roman"/>
                  <w:lang w:eastAsia="zh-CN"/>
                </w:rPr>
                <w:instrText xml:space="preserve"> NUMPAGES  </w:instrText>
              </w:r>
              <w:r>
                <w:rPr>
                  <w:rFonts w:ascii="Times New Roman" w:hAnsi="Times New Roman" w:cs="Times New Roman"/>
                  <w:lang w:eastAsia="zh-CN"/>
                </w:rPr>
                <w:fldChar w:fldCharType="separate"/>
              </w:r>
              <w:r>
                <w:rPr>
                  <w:rFonts w:ascii="Times New Roman" w:hAnsi="Times New Roman" w:cs="Times New Roman"/>
                  <w:lang w:eastAsia="zh-CN"/>
                </w:rPr>
                <w:t>24</w:t>
              </w:r>
              <w:r>
                <w:rPr>
                  <w:rFonts w:ascii="Times New Roman" w:hAnsi="Times New Roman" w:cs="Times New Roman"/>
                  <w:lang w:eastAsia="zh-CN"/>
                </w:rPr>
                <w:fldChar w:fldCharType="end"/>
              </w:r>
            </w:sdtContent>
          </w:sdt>
          <w:r>
            <w:rPr>
              <w:rFonts w:ascii="Times New Roman" w:hAnsi="黑体" w:eastAsia="黑体" w:cs="Times New Roman"/>
              <w:spacing w:val="-20"/>
              <w:sz w:val="24"/>
              <w:szCs w:val="24"/>
              <w:lang w:eastAsia="zh-CN"/>
            </w:rPr>
            <w:t>页</w:t>
          </w:r>
        </w:p>
      </w:tc>
    </w:tr>
  </w:tbl>
  <w:p w14:paraId="2108A046">
    <w:pPr>
      <w:pStyle w:val="22"/>
      <w:pBdr>
        <w:bottom w:val="single" w:color="auto" w:sz="6" w:space="4"/>
      </w:pBdr>
      <w:ind w:firstLine="1170" w:firstLineChars="650"/>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3088BD">
    <w:pPr>
      <w:pStyle w:val="22"/>
    </w:pPr>
    <w:r>
      <w:rPr>
        <w:lang w:bidi="ar-SA"/>
      </w:rPr>
      <w:pict>
        <v:shape id="WordPictureWatermark33931653" o:spid="_x0000_s106498" o:spt="75" type="#_x0000_t75" style="position:absolute;left:0pt;height:348.3pt;width:493.25pt;mso-position-horizontal:center;mso-position-horizontal-relative:margin;mso-position-vertical:center;mso-position-vertical-relative:margin;z-index:-251648000;mso-width-relative:page;mso-height-relative:page;" filled="f" o:preferrelative="t" stroked="f" coordsize="21600,21600" o:allowincell="f">
          <v:path/>
          <v:fill on="f" focussize="0,0"/>
          <v:stroke on="f" joinstyle="miter"/>
          <v:imagedata r:id="rId1" gain="19661f" blacklevel="22938f" o:title="S&amp;P"/>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CAAF90">
    <w:pPr>
      <w:pStyle w:val="22"/>
    </w:pPr>
    <w:r>
      <w:rPr>
        <w:lang w:bidi="ar-SA"/>
      </w:rPr>
      <w:pict>
        <v:shape id="WordPictureWatermark33931652" o:spid="_x0000_s106497" o:spt="75" type="#_x0000_t75" style="position:absolute;left:0pt;height:348.3pt;width:493.25pt;mso-position-horizontal:center;mso-position-horizontal-relative:margin;mso-position-vertical:center;mso-position-vertical-relative:margin;z-index:-251649024;mso-width-relative:page;mso-height-relative:page;" filled="f" o:preferrelative="t" stroked="f" coordsize="21600,21600" o:allowincell="f">
          <v:path/>
          <v:fill on="f" focussize="0,0"/>
          <v:stroke on="f" joinstyle="miter"/>
          <v:imagedata r:id="rId1" gain="19661f" blacklevel="22938f" o:title="S&amp;P"/>
          <o:lock v:ext="edit" aspectratio="t"/>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hdrShapeDefaults>
    <o:shapelayout v:ext="edit">
      <o:idmap v:ext="edit" data="104"/>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TcwODYyZWNmODE4ODk0YmY0ZGU4Y2M2ODY2YzQ5OTEifQ=="/>
  </w:docVars>
  <w:rsids>
    <w:rsidRoot w:val="00A82FA2"/>
    <w:rsid w:val="00000885"/>
    <w:rsid w:val="00005C17"/>
    <w:rsid w:val="00005F7F"/>
    <w:rsid w:val="00014C74"/>
    <w:rsid w:val="00015F28"/>
    <w:rsid w:val="00054500"/>
    <w:rsid w:val="0006520E"/>
    <w:rsid w:val="00067246"/>
    <w:rsid w:val="00072437"/>
    <w:rsid w:val="00073EF1"/>
    <w:rsid w:val="0007487E"/>
    <w:rsid w:val="00082518"/>
    <w:rsid w:val="00082CC0"/>
    <w:rsid w:val="00082F85"/>
    <w:rsid w:val="00084B2A"/>
    <w:rsid w:val="00087682"/>
    <w:rsid w:val="00091B98"/>
    <w:rsid w:val="00096801"/>
    <w:rsid w:val="00097B87"/>
    <w:rsid w:val="000A2AE2"/>
    <w:rsid w:val="000A45FE"/>
    <w:rsid w:val="000A5A2A"/>
    <w:rsid w:val="000B03A6"/>
    <w:rsid w:val="000B17EA"/>
    <w:rsid w:val="000B4E8D"/>
    <w:rsid w:val="000C2189"/>
    <w:rsid w:val="000D06CD"/>
    <w:rsid w:val="000D5765"/>
    <w:rsid w:val="000E022D"/>
    <w:rsid w:val="000E5E24"/>
    <w:rsid w:val="000F09A1"/>
    <w:rsid w:val="000F5705"/>
    <w:rsid w:val="0010044C"/>
    <w:rsid w:val="001028D5"/>
    <w:rsid w:val="001050D5"/>
    <w:rsid w:val="00105A23"/>
    <w:rsid w:val="00105EB9"/>
    <w:rsid w:val="00112F84"/>
    <w:rsid w:val="001163C4"/>
    <w:rsid w:val="0011760F"/>
    <w:rsid w:val="001238D3"/>
    <w:rsid w:val="001254F7"/>
    <w:rsid w:val="00125BE6"/>
    <w:rsid w:val="001278F0"/>
    <w:rsid w:val="0013211A"/>
    <w:rsid w:val="001342D5"/>
    <w:rsid w:val="00135860"/>
    <w:rsid w:val="001376F9"/>
    <w:rsid w:val="00140286"/>
    <w:rsid w:val="00142D76"/>
    <w:rsid w:val="0014389D"/>
    <w:rsid w:val="001442CF"/>
    <w:rsid w:val="00146FEE"/>
    <w:rsid w:val="001471C5"/>
    <w:rsid w:val="00154646"/>
    <w:rsid w:val="00156B9C"/>
    <w:rsid w:val="001619D9"/>
    <w:rsid w:val="00166738"/>
    <w:rsid w:val="00171B11"/>
    <w:rsid w:val="0017688D"/>
    <w:rsid w:val="00177671"/>
    <w:rsid w:val="00182A05"/>
    <w:rsid w:val="001841F4"/>
    <w:rsid w:val="00184241"/>
    <w:rsid w:val="00186735"/>
    <w:rsid w:val="001928CB"/>
    <w:rsid w:val="0019468C"/>
    <w:rsid w:val="00196A72"/>
    <w:rsid w:val="001A019C"/>
    <w:rsid w:val="001A43C5"/>
    <w:rsid w:val="001A4C90"/>
    <w:rsid w:val="001A7633"/>
    <w:rsid w:val="001C59F7"/>
    <w:rsid w:val="001D3E31"/>
    <w:rsid w:val="001D4862"/>
    <w:rsid w:val="001D4988"/>
    <w:rsid w:val="001D793E"/>
    <w:rsid w:val="0020123C"/>
    <w:rsid w:val="0020404F"/>
    <w:rsid w:val="00211D80"/>
    <w:rsid w:val="002121A4"/>
    <w:rsid w:val="002132AE"/>
    <w:rsid w:val="0021406D"/>
    <w:rsid w:val="0021445D"/>
    <w:rsid w:val="0022026B"/>
    <w:rsid w:val="00224227"/>
    <w:rsid w:val="00224FB1"/>
    <w:rsid w:val="0022536A"/>
    <w:rsid w:val="00226AD1"/>
    <w:rsid w:val="002279BF"/>
    <w:rsid w:val="00231BA1"/>
    <w:rsid w:val="00234E2A"/>
    <w:rsid w:val="00250801"/>
    <w:rsid w:val="002522AC"/>
    <w:rsid w:val="002523A5"/>
    <w:rsid w:val="00252A8C"/>
    <w:rsid w:val="002553F6"/>
    <w:rsid w:val="002601DC"/>
    <w:rsid w:val="002618C4"/>
    <w:rsid w:val="00262125"/>
    <w:rsid w:val="002625D1"/>
    <w:rsid w:val="00264ED5"/>
    <w:rsid w:val="00272780"/>
    <w:rsid w:val="00274931"/>
    <w:rsid w:val="00276457"/>
    <w:rsid w:val="0027781C"/>
    <w:rsid w:val="00290484"/>
    <w:rsid w:val="0029194B"/>
    <w:rsid w:val="00294A5B"/>
    <w:rsid w:val="002959F7"/>
    <w:rsid w:val="002A3BAB"/>
    <w:rsid w:val="002B3414"/>
    <w:rsid w:val="002C62ED"/>
    <w:rsid w:val="002D008F"/>
    <w:rsid w:val="002D5AA4"/>
    <w:rsid w:val="002D6A92"/>
    <w:rsid w:val="002D7D92"/>
    <w:rsid w:val="002E57AA"/>
    <w:rsid w:val="002E6487"/>
    <w:rsid w:val="002E7796"/>
    <w:rsid w:val="00300D09"/>
    <w:rsid w:val="00307FCA"/>
    <w:rsid w:val="00313677"/>
    <w:rsid w:val="00315A15"/>
    <w:rsid w:val="0032112E"/>
    <w:rsid w:val="00321308"/>
    <w:rsid w:val="00322151"/>
    <w:rsid w:val="00322650"/>
    <w:rsid w:val="00325BDD"/>
    <w:rsid w:val="00337FD3"/>
    <w:rsid w:val="00341CC6"/>
    <w:rsid w:val="00341CCE"/>
    <w:rsid w:val="00347186"/>
    <w:rsid w:val="003479D8"/>
    <w:rsid w:val="003508ED"/>
    <w:rsid w:val="00353ED0"/>
    <w:rsid w:val="003576EE"/>
    <w:rsid w:val="00367361"/>
    <w:rsid w:val="00372682"/>
    <w:rsid w:val="00373B9E"/>
    <w:rsid w:val="00384983"/>
    <w:rsid w:val="00391389"/>
    <w:rsid w:val="003954BA"/>
    <w:rsid w:val="003A316D"/>
    <w:rsid w:val="003A40B2"/>
    <w:rsid w:val="003B2E3D"/>
    <w:rsid w:val="003C1B7A"/>
    <w:rsid w:val="003C7E5E"/>
    <w:rsid w:val="003E14DB"/>
    <w:rsid w:val="003E1D42"/>
    <w:rsid w:val="0040476A"/>
    <w:rsid w:val="00407EDF"/>
    <w:rsid w:val="00410DC8"/>
    <w:rsid w:val="004157B5"/>
    <w:rsid w:val="004215DD"/>
    <w:rsid w:val="004230F6"/>
    <w:rsid w:val="00423A28"/>
    <w:rsid w:val="00423DC6"/>
    <w:rsid w:val="00424346"/>
    <w:rsid w:val="0042455E"/>
    <w:rsid w:val="00424BE8"/>
    <w:rsid w:val="00424DF0"/>
    <w:rsid w:val="00426234"/>
    <w:rsid w:val="00435AC3"/>
    <w:rsid w:val="00437D8E"/>
    <w:rsid w:val="00447624"/>
    <w:rsid w:val="00457A13"/>
    <w:rsid w:val="004603E2"/>
    <w:rsid w:val="00466C44"/>
    <w:rsid w:val="00471C11"/>
    <w:rsid w:val="0047538E"/>
    <w:rsid w:val="00482381"/>
    <w:rsid w:val="00485218"/>
    <w:rsid w:val="00486868"/>
    <w:rsid w:val="004873BC"/>
    <w:rsid w:val="00487BE9"/>
    <w:rsid w:val="004956EA"/>
    <w:rsid w:val="004961E7"/>
    <w:rsid w:val="004A070C"/>
    <w:rsid w:val="004A5655"/>
    <w:rsid w:val="004A5B54"/>
    <w:rsid w:val="004A60A7"/>
    <w:rsid w:val="004B164B"/>
    <w:rsid w:val="004B25C4"/>
    <w:rsid w:val="004B75A1"/>
    <w:rsid w:val="004C3B50"/>
    <w:rsid w:val="004C7423"/>
    <w:rsid w:val="004D12AB"/>
    <w:rsid w:val="004D3AB3"/>
    <w:rsid w:val="004D7B94"/>
    <w:rsid w:val="004E212C"/>
    <w:rsid w:val="004E2B38"/>
    <w:rsid w:val="004F13B3"/>
    <w:rsid w:val="004F1BDE"/>
    <w:rsid w:val="005024DD"/>
    <w:rsid w:val="00504243"/>
    <w:rsid w:val="005047B2"/>
    <w:rsid w:val="0051039D"/>
    <w:rsid w:val="00510D80"/>
    <w:rsid w:val="00523FBD"/>
    <w:rsid w:val="00527D96"/>
    <w:rsid w:val="005319FB"/>
    <w:rsid w:val="005326E6"/>
    <w:rsid w:val="00532F19"/>
    <w:rsid w:val="0053367C"/>
    <w:rsid w:val="00533898"/>
    <w:rsid w:val="00542FDF"/>
    <w:rsid w:val="005450E1"/>
    <w:rsid w:val="00552347"/>
    <w:rsid w:val="00552D08"/>
    <w:rsid w:val="00557C8C"/>
    <w:rsid w:val="00557EB3"/>
    <w:rsid w:val="005670C6"/>
    <w:rsid w:val="00572C9E"/>
    <w:rsid w:val="0057314E"/>
    <w:rsid w:val="00573527"/>
    <w:rsid w:val="00581163"/>
    <w:rsid w:val="00582381"/>
    <w:rsid w:val="0058659C"/>
    <w:rsid w:val="0059138B"/>
    <w:rsid w:val="00592851"/>
    <w:rsid w:val="00596716"/>
    <w:rsid w:val="005A07A6"/>
    <w:rsid w:val="005B1512"/>
    <w:rsid w:val="005B4FD0"/>
    <w:rsid w:val="005B69B9"/>
    <w:rsid w:val="005B6E25"/>
    <w:rsid w:val="005C302E"/>
    <w:rsid w:val="005C3DA5"/>
    <w:rsid w:val="005C3F4C"/>
    <w:rsid w:val="005C6664"/>
    <w:rsid w:val="005D18BB"/>
    <w:rsid w:val="005D536D"/>
    <w:rsid w:val="005E1684"/>
    <w:rsid w:val="005E261C"/>
    <w:rsid w:val="005E2654"/>
    <w:rsid w:val="005E354A"/>
    <w:rsid w:val="005E374E"/>
    <w:rsid w:val="005E5797"/>
    <w:rsid w:val="005F113F"/>
    <w:rsid w:val="005F2815"/>
    <w:rsid w:val="005F2FDC"/>
    <w:rsid w:val="005F4ECB"/>
    <w:rsid w:val="005F529B"/>
    <w:rsid w:val="005F7258"/>
    <w:rsid w:val="00604412"/>
    <w:rsid w:val="00605727"/>
    <w:rsid w:val="006111B9"/>
    <w:rsid w:val="00620D4D"/>
    <w:rsid w:val="00622060"/>
    <w:rsid w:val="00625B42"/>
    <w:rsid w:val="00630B1E"/>
    <w:rsid w:val="0063195F"/>
    <w:rsid w:val="00643582"/>
    <w:rsid w:val="00660161"/>
    <w:rsid w:val="006632CE"/>
    <w:rsid w:val="006835AF"/>
    <w:rsid w:val="00683948"/>
    <w:rsid w:val="00685681"/>
    <w:rsid w:val="00690302"/>
    <w:rsid w:val="0069340F"/>
    <w:rsid w:val="006935CB"/>
    <w:rsid w:val="0069680D"/>
    <w:rsid w:val="006A1D36"/>
    <w:rsid w:val="006A46FF"/>
    <w:rsid w:val="006A6E86"/>
    <w:rsid w:val="006B10FE"/>
    <w:rsid w:val="006B5783"/>
    <w:rsid w:val="006C0242"/>
    <w:rsid w:val="006C2A75"/>
    <w:rsid w:val="006C60D8"/>
    <w:rsid w:val="006D0478"/>
    <w:rsid w:val="006D1562"/>
    <w:rsid w:val="006D25B6"/>
    <w:rsid w:val="006D3182"/>
    <w:rsid w:val="006E00C1"/>
    <w:rsid w:val="006E6758"/>
    <w:rsid w:val="006F2412"/>
    <w:rsid w:val="00703A53"/>
    <w:rsid w:val="00706DDA"/>
    <w:rsid w:val="00706EAD"/>
    <w:rsid w:val="00710B52"/>
    <w:rsid w:val="00723DF2"/>
    <w:rsid w:val="00731459"/>
    <w:rsid w:val="00742301"/>
    <w:rsid w:val="00752095"/>
    <w:rsid w:val="007552D2"/>
    <w:rsid w:val="0075656E"/>
    <w:rsid w:val="007568A0"/>
    <w:rsid w:val="00760238"/>
    <w:rsid w:val="007664D2"/>
    <w:rsid w:val="00766AB6"/>
    <w:rsid w:val="007717ED"/>
    <w:rsid w:val="0077410D"/>
    <w:rsid w:val="00782EE8"/>
    <w:rsid w:val="007A2CFD"/>
    <w:rsid w:val="007A3E19"/>
    <w:rsid w:val="007A4D78"/>
    <w:rsid w:val="007A6071"/>
    <w:rsid w:val="007A7918"/>
    <w:rsid w:val="007B28E7"/>
    <w:rsid w:val="007B3D4D"/>
    <w:rsid w:val="007B4A31"/>
    <w:rsid w:val="007B62EF"/>
    <w:rsid w:val="007D114B"/>
    <w:rsid w:val="007D23FD"/>
    <w:rsid w:val="007D6AE3"/>
    <w:rsid w:val="007E4C96"/>
    <w:rsid w:val="007E5594"/>
    <w:rsid w:val="007E5AF8"/>
    <w:rsid w:val="007E6E2B"/>
    <w:rsid w:val="007F1E5B"/>
    <w:rsid w:val="007F5A2A"/>
    <w:rsid w:val="007F5B18"/>
    <w:rsid w:val="00806058"/>
    <w:rsid w:val="008064A7"/>
    <w:rsid w:val="00815A9E"/>
    <w:rsid w:val="0081612D"/>
    <w:rsid w:val="008166B8"/>
    <w:rsid w:val="008217F1"/>
    <w:rsid w:val="00822CDA"/>
    <w:rsid w:val="008255DE"/>
    <w:rsid w:val="00830423"/>
    <w:rsid w:val="00833F33"/>
    <w:rsid w:val="00834772"/>
    <w:rsid w:val="00846375"/>
    <w:rsid w:val="0084783E"/>
    <w:rsid w:val="0084784C"/>
    <w:rsid w:val="00850A66"/>
    <w:rsid w:val="00862EDE"/>
    <w:rsid w:val="00867CF2"/>
    <w:rsid w:val="00874FD5"/>
    <w:rsid w:val="00883453"/>
    <w:rsid w:val="00890671"/>
    <w:rsid w:val="008A0E68"/>
    <w:rsid w:val="008A2D63"/>
    <w:rsid w:val="008A4441"/>
    <w:rsid w:val="008A6905"/>
    <w:rsid w:val="008B32ED"/>
    <w:rsid w:val="008B4CE4"/>
    <w:rsid w:val="008B63A9"/>
    <w:rsid w:val="008C0434"/>
    <w:rsid w:val="008C396B"/>
    <w:rsid w:val="008D11A2"/>
    <w:rsid w:val="008D392D"/>
    <w:rsid w:val="008F2B49"/>
    <w:rsid w:val="008F2B9C"/>
    <w:rsid w:val="008F7A7F"/>
    <w:rsid w:val="00901DF6"/>
    <w:rsid w:val="00912B9E"/>
    <w:rsid w:val="0092348B"/>
    <w:rsid w:val="00932BDA"/>
    <w:rsid w:val="00933D9D"/>
    <w:rsid w:val="00940E16"/>
    <w:rsid w:val="00944328"/>
    <w:rsid w:val="00945279"/>
    <w:rsid w:val="00947A66"/>
    <w:rsid w:val="009534FF"/>
    <w:rsid w:val="00963430"/>
    <w:rsid w:val="00963C7B"/>
    <w:rsid w:val="009653D1"/>
    <w:rsid w:val="00967846"/>
    <w:rsid w:val="00970C96"/>
    <w:rsid w:val="00975D67"/>
    <w:rsid w:val="009812CA"/>
    <w:rsid w:val="009836F8"/>
    <w:rsid w:val="00984C87"/>
    <w:rsid w:val="00991DAB"/>
    <w:rsid w:val="00996EEF"/>
    <w:rsid w:val="009A09FE"/>
    <w:rsid w:val="009A1FEB"/>
    <w:rsid w:val="009A4A98"/>
    <w:rsid w:val="009A526D"/>
    <w:rsid w:val="009A5856"/>
    <w:rsid w:val="009A6D46"/>
    <w:rsid w:val="009C0E66"/>
    <w:rsid w:val="009C0EF7"/>
    <w:rsid w:val="009C19F5"/>
    <w:rsid w:val="009C24E7"/>
    <w:rsid w:val="009C33A8"/>
    <w:rsid w:val="009C67DC"/>
    <w:rsid w:val="009D0DA7"/>
    <w:rsid w:val="009D5753"/>
    <w:rsid w:val="009D71E9"/>
    <w:rsid w:val="009F6F44"/>
    <w:rsid w:val="00A075B2"/>
    <w:rsid w:val="00A17329"/>
    <w:rsid w:val="00A17617"/>
    <w:rsid w:val="00A21B93"/>
    <w:rsid w:val="00A25A3B"/>
    <w:rsid w:val="00A27742"/>
    <w:rsid w:val="00A3557E"/>
    <w:rsid w:val="00A42231"/>
    <w:rsid w:val="00A4403F"/>
    <w:rsid w:val="00A4445F"/>
    <w:rsid w:val="00A4761E"/>
    <w:rsid w:val="00A574CD"/>
    <w:rsid w:val="00A6321C"/>
    <w:rsid w:val="00A66603"/>
    <w:rsid w:val="00A67298"/>
    <w:rsid w:val="00A7317E"/>
    <w:rsid w:val="00A74E56"/>
    <w:rsid w:val="00A75B49"/>
    <w:rsid w:val="00A82FA2"/>
    <w:rsid w:val="00A8671F"/>
    <w:rsid w:val="00AA2E61"/>
    <w:rsid w:val="00AA4FE0"/>
    <w:rsid w:val="00AB1AFD"/>
    <w:rsid w:val="00AB4755"/>
    <w:rsid w:val="00AC0BBD"/>
    <w:rsid w:val="00AC3F19"/>
    <w:rsid w:val="00AD14E2"/>
    <w:rsid w:val="00AD3153"/>
    <w:rsid w:val="00AD6481"/>
    <w:rsid w:val="00AD7E1B"/>
    <w:rsid w:val="00AE0F6D"/>
    <w:rsid w:val="00AE353F"/>
    <w:rsid w:val="00AE39B8"/>
    <w:rsid w:val="00AE4779"/>
    <w:rsid w:val="00AF224C"/>
    <w:rsid w:val="00AF455C"/>
    <w:rsid w:val="00B01116"/>
    <w:rsid w:val="00B01EA1"/>
    <w:rsid w:val="00B02F3B"/>
    <w:rsid w:val="00B07349"/>
    <w:rsid w:val="00B265C6"/>
    <w:rsid w:val="00B27B4F"/>
    <w:rsid w:val="00B32500"/>
    <w:rsid w:val="00B3694A"/>
    <w:rsid w:val="00B406C6"/>
    <w:rsid w:val="00B41E94"/>
    <w:rsid w:val="00B45965"/>
    <w:rsid w:val="00B5005B"/>
    <w:rsid w:val="00B5259A"/>
    <w:rsid w:val="00B60A2A"/>
    <w:rsid w:val="00B6374A"/>
    <w:rsid w:val="00B64E45"/>
    <w:rsid w:val="00B72A06"/>
    <w:rsid w:val="00B829A8"/>
    <w:rsid w:val="00B82DE0"/>
    <w:rsid w:val="00B84559"/>
    <w:rsid w:val="00B955BC"/>
    <w:rsid w:val="00BA1D5C"/>
    <w:rsid w:val="00BA4FF7"/>
    <w:rsid w:val="00BB272B"/>
    <w:rsid w:val="00BC77FF"/>
    <w:rsid w:val="00BD2C58"/>
    <w:rsid w:val="00BD4898"/>
    <w:rsid w:val="00BD7639"/>
    <w:rsid w:val="00BE6271"/>
    <w:rsid w:val="00BE6956"/>
    <w:rsid w:val="00BF1F78"/>
    <w:rsid w:val="00C02009"/>
    <w:rsid w:val="00C123BB"/>
    <w:rsid w:val="00C1371E"/>
    <w:rsid w:val="00C13DBB"/>
    <w:rsid w:val="00C15340"/>
    <w:rsid w:val="00C22BFF"/>
    <w:rsid w:val="00C26D74"/>
    <w:rsid w:val="00C27A83"/>
    <w:rsid w:val="00C4226D"/>
    <w:rsid w:val="00C452B5"/>
    <w:rsid w:val="00C459F2"/>
    <w:rsid w:val="00C532D1"/>
    <w:rsid w:val="00C572C8"/>
    <w:rsid w:val="00C64CBC"/>
    <w:rsid w:val="00C66B5B"/>
    <w:rsid w:val="00C71BA2"/>
    <w:rsid w:val="00C72185"/>
    <w:rsid w:val="00C72C9C"/>
    <w:rsid w:val="00C7504E"/>
    <w:rsid w:val="00C77630"/>
    <w:rsid w:val="00C779A9"/>
    <w:rsid w:val="00C84A87"/>
    <w:rsid w:val="00C86564"/>
    <w:rsid w:val="00C90B3A"/>
    <w:rsid w:val="00C90DEE"/>
    <w:rsid w:val="00C939B9"/>
    <w:rsid w:val="00C97AC4"/>
    <w:rsid w:val="00CA1D7E"/>
    <w:rsid w:val="00CA3139"/>
    <w:rsid w:val="00CA7E3F"/>
    <w:rsid w:val="00CB0C49"/>
    <w:rsid w:val="00CB1716"/>
    <w:rsid w:val="00CB2776"/>
    <w:rsid w:val="00CB56A9"/>
    <w:rsid w:val="00CC0C16"/>
    <w:rsid w:val="00CC4ADE"/>
    <w:rsid w:val="00CD4E32"/>
    <w:rsid w:val="00CD56E3"/>
    <w:rsid w:val="00CD6611"/>
    <w:rsid w:val="00CD7DD0"/>
    <w:rsid w:val="00CE1D41"/>
    <w:rsid w:val="00CE1E35"/>
    <w:rsid w:val="00CE3F32"/>
    <w:rsid w:val="00CF4925"/>
    <w:rsid w:val="00D02054"/>
    <w:rsid w:val="00D03AA4"/>
    <w:rsid w:val="00D041B4"/>
    <w:rsid w:val="00D0767A"/>
    <w:rsid w:val="00D07F51"/>
    <w:rsid w:val="00D130B7"/>
    <w:rsid w:val="00D161BA"/>
    <w:rsid w:val="00D2146F"/>
    <w:rsid w:val="00D22AC5"/>
    <w:rsid w:val="00D43A0E"/>
    <w:rsid w:val="00D4498F"/>
    <w:rsid w:val="00D4595D"/>
    <w:rsid w:val="00D45BE9"/>
    <w:rsid w:val="00D47B5D"/>
    <w:rsid w:val="00D50CF0"/>
    <w:rsid w:val="00D56860"/>
    <w:rsid w:val="00D6166E"/>
    <w:rsid w:val="00D64355"/>
    <w:rsid w:val="00D70859"/>
    <w:rsid w:val="00D71B06"/>
    <w:rsid w:val="00D71C3D"/>
    <w:rsid w:val="00D724C2"/>
    <w:rsid w:val="00D739D5"/>
    <w:rsid w:val="00D83AB0"/>
    <w:rsid w:val="00D95867"/>
    <w:rsid w:val="00DA40C0"/>
    <w:rsid w:val="00DA4592"/>
    <w:rsid w:val="00DA799E"/>
    <w:rsid w:val="00DB564D"/>
    <w:rsid w:val="00DB58C4"/>
    <w:rsid w:val="00DB6489"/>
    <w:rsid w:val="00DB6D2D"/>
    <w:rsid w:val="00DB7504"/>
    <w:rsid w:val="00DC22B9"/>
    <w:rsid w:val="00DC551F"/>
    <w:rsid w:val="00DC7C90"/>
    <w:rsid w:val="00DD1148"/>
    <w:rsid w:val="00DD2801"/>
    <w:rsid w:val="00DD33F6"/>
    <w:rsid w:val="00DE358F"/>
    <w:rsid w:val="00DE3AD8"/>
    <w:rsid w:val="00DE7E7D"/>
    <w:rsid w:val="00DF30E9"/>
    <w:rsid w:val="00DF7AD0"/>
    <w:rsid w:val="00E03165"/>
    <w:rsid w:val="00E069B6"/>
    <w:rsid w:val="00E15658"/>
    <w:rsid w:val="00E209FD"/>
    <w:rsid w:val="00E21C31"/>
    <w:rsid w:val="00E24A6C"/>
    <w:rsid w:val="00E25B37"/>
    <w:rsid w:val="00E27562"/>
    <w:rsid w:val="00E305D6"/>
    <w:rsid w:val="00E35946"/>
    <w:rsid w:val="00E40648"/>
    <w:rsid w:val="00E440B3"/>
    <w:rsid w:val="00E469B9"/>
    <w:rsid w:val="00E50103"/>
    <w:rsid w:val="00E51BB2"/>
    <w:rsid w:val="00E51F0D"/>
    <w:rsid w:val="00E54DF9"/>
    <w:rsid w:val="00E600D4"/>
    <w:rsid w:val="00E603C7"/>
    <w:rsid w:val="00E848E6"/>
    <w:rsid w:val="00E868C8"/>
    <w:rsid w:val="00E900E5"/>
    <w:rsid w:val="00E90159"/>
    <w:rsid w:val="00E9648B"/>
    <w:rsid w:val="00EA0C89"/>
    <w:rsid w:val="00EA2F59"/>
    <w:rsid w:val="00EB2256"/>
    <w:rsid w:val="00EC148F"/>
    <w:rsid w:val="00EC434A"/>
    <w:rsid w:val="00ED1F06"/>
    <w:rsid w:val="00ED47D3"/>
    <w:rsid w:val="00ED662D"/>
    <w:rsid w:val="00EE25BA"/>
    <w:rsid w:val="00EE3612"/>
    <w:rsid w:val="00EF1BF1"/>
    <w:rsid w:val="00EF6CAD"/>
    <w:rsid w:val="00EF7378"/>
    <w:rsid w:val="00F00D50"/>
    <w:rsid w:val="00F04122"/>
    <w:rsid w:val="00F04142"/>
    <w:rsid w:val="00F05477"/>
    <w:rsid w:val="00F05557"/>
    <w:rsid w:val="00F06A6E"/>
    <w:rsid w:val="00F12FA0"/>
    <w:rsid w:val="00F20EA3"/>
    <w:rsid w:val="00F23753"/>
    <w:rsid w:val="00F2535C"/>
    <w:rsid w:val="00F25ED8"/>
    <w:rsid w:val="00F30FC3"/>
    <w:rsid w:val="00F348A3"/>
    <w:rsid w:val="00F40927"/>
    <w:rsid w:val="00F40D0A"/>
    <w:rsid w:val="00F41D3E"/>
    <w:rsid w:val="00F4519B"/>
    <w:rsid w:val="00F46414"/>
    <w:rsid w:val="00F46B85"/>
    <w:rsid w:val="00F479AA"/>
    <w:rsid w:val="00F50914"/>
    <w:rsid w:val="00F539DA"/>
    <w:rsid w:val="00F5534C"/>
    <w:rsid w:val="00F66664"/>
    <w:rsid w:val="00F71684"/>
    <w:rsid w:val="00F74533"/>
    <w:rsid w:val="00F8136B"/>
    <w:rsid w:val="00F81AE2"/>
    <w:rsid w:val="00F86AC3"/>
    <w:rsid w:val="00F92076"/>
    <w:rsid w:val="00F9591C"/>
    <w:rsid w:val="00F9659C"/>
    <w:rsid w:val="00FB182F"/>
    <w:rsid w:val="00FB1A6C"/>
    <w:rsid w:val="00FB710D"/>
    <w:rsid w:val="00FB7D60"/>
    <w:rsid w:val="00FC301D"/>
    <w:rsid w:val="00FC326A"/>
    <w:rsid w:val="00FC3AFD"/>
    <w:rsid w:val="00FC6749"/>
    <w:rsid w:val="00FC7F3B"/>
    <w:rsid w:val="00FD4AD9"/>
    <w:rsid w:val="00FD6116"/>
    <w:rsid w:val="00FE1B5D"/>
    <w:rsid w:val="00FE340B"/>
    <w:rsid w:val="00FE6B4A"/>
    <w:rsid w:val="00FF2AD3"/>
    <w:rsid w:val="00FF31E8"/>
    <w:rsid w:val="00FF4617"/>
    <w:rsid w:val="010C0502"/>
    <w:rsid w:val="01303AC5"/>
    <w:rsid w:val="014A2DD9"/>
    <w:rsid w:val="017D4F5C"/>
    <w:rsid w:val="01C963F3"/>
    <w:rsid w:val="01F62F61"/>
    <w:rsid w:val="01FB0577"/>
    <w:rsid w:val="026B74AB"/>
    <w:rsid w:val="02914F6B"/>
    <w:rsid w:val="02A73027"/>
    <w:rsid w:val="02C31095"/>
    <w:rsid w:val="02EE59E6"/>
    <w:rsid w:val="02F76F90"/>
    <w:rsid w:val="030B41F2"/>
    <w:rsid w:val="03367AB9"/>
    <w:rsid w:val="033A578D"/>
    <w:rsid w:val="03A569EC"/>
    <w:rsid w:val="03B15391"/>
    <w:rsid w:val="03CF3A69"/>
    <w:rsid w:val="03FE41F8"/>
    <w:rsid w:val="04771B30"/>
    <w:rsid w:val="049D76C3"/>
    <w:rsid w:val="04BA2023"/>
    <w:rsid w:val="051E0804"/>
    <w:rsid w:val="0523406D"/>
    <w:rsid w:val="05BB42A5"/>
    <w:rsid w:val="05C80770"/>
    <w:rsid w:val="05D9472B"/>
    <w:rsid w:val="05F652DD"/>
    <w:rsid w:val="06606BFB"/>
    <w:rsid w:val="06E93094"/>
    <w:rsid w:val="072C6C75"/>
    <w:rsid w:val="07512148"/>
    <w:rsid w:val="07576D6E"/>
    <w:rsid w:val="07AF7E3A"/>
    <w:rsid w:val="07C83611"/>
    <w:rsid w:val="080E2562"/>
    <w:rsid w:val="08AC4379"/>
    <w:rsid w:val="08F63846"/>
    <w:rsid w:val="09212671"/>
    <w:rsid w:val="09992B4F"/>
    <w:rsid w:val="09C13E54"/>
    <w:rsid w:val="09D04C56"/>
    <w:rsid w:val="09FE29B2"/>
    <w:rsid w:val="0A187F18"/>
    <w:rsid w:val="0A342878"/>
    <w:rsid w:val="0A7315F2"/>
    <w:rsid w:val="0A894972"/>
    <w:rsid w:val="0A984BB5"/>
    <w:rsid w:val="0AA417AC"/>
    <w:rsid w:val="0B2621C1"/>
    <w:rsid w:val="0B54368F"/>
    <w:rsid w:val="0BE37935"/>
    <w:rsid w:val="0C122745"/>
    <w:rsid w:val="0C7730AE"/>
    <w:rsid w:val="0CB67574"/>
    <w:rsid w:val="0CFB5BFC"/>
    <w:rsid w:val="0D645222"/>
    <w:rsid w:val="0D683F59"/>
    <w:rsid w:val="0DDB778D"/>
    <w:rsid w:val="0E010CC3"/>
    <w:rsid w:val="0E213113"/>
    <w:rsid w:val="0E35096D"/>
    <w:rsid w:val="0E590AFF"/>
    <w:rsid w:val="0E5B4710"/>
    <w:rsid w:val="0E6B3E18"/>
    <w:rsid w:val="0E71409B"/>
    <w:rsid w:val="0E741495"/>
    <w:rsid w:val="0E835B7C"/>
    <w:rsid w:val="0EC45B0A"/>
    <w:rsid w:val="0EDB32C2"/>
    <w:rsid w:val="0EE303C9"/>
    <w:rsid w:val="0F0D10F0"/>
    <w:rsid w:val="0F1D7D7F"/>
    <w:rsid w:val="0F580DB7"/>
    <w:rsid w:val="0F84395A"/>
    <w:rsid w:val="0FC226D4"/>
    <w:rsid w:val="0FED14FF"/>
    <w:rsid w:val="100E1475"/>
    <w:rsid w:val="10125409"/>
    <w:rsid w:val="10937656"/>
    <w:rsid w:val="10AF09F3"/>
    <w:rsid w:val="10E10006"/>
    <w:rsid w:val="11020FDA"/>
    <w:rsid w:val="112A22DF"/>
    <w:rsid w:val="11603F53"/>
    <w:rsid w:val="11C24C0D"/>
    <w:rsid w:val="11EB7CC0"/>
    <w:rsid w:val="11FC011F"/>
    <w:rsid w:val="12597320"/>
    <w:rsid w:val="127401F4"/>
    <w:rsid w:val="127E28E2"/>
    <w:rsid w:val="12C66037"/>
    <w:rsid w:val="12DB7D35"/>
    <w:rsid w:val="133D454B"/>
    <w:rsid w:val="136E4A56"/>
    <w:rsid w:val="137F0587"/>
    <w:rsid w:val="141352AC"/>
    <w:rsid w:val="143376FC"/>
    <w:rsid w:val="14952621"/>
    <w:rsid w:val="14B0380B"/>
    <w:rsid w:val="14D76808"/>
    <w:rsid w:val="14F90E84"/>
    <w:rsid w:val="151E03AD"/>
    <w:rsid w:val="152359C3"/>
    <w:rsid w:val="15347BD0"/>
    <w:rsid w:val="157955E3"/>
    <w:rsid w:val="15AE7982"/>
    <w:rsid w:val="15AF7257"/>
    <w:rsid w:val="15DA2525"/>
    <w:rsid w:val="16191EB1"/>
    <w:rsid w:val="162639BD"/>
    <w:rsid w:val="163D4862"/>
    <w:rsid w:val="165027E8"/>
    <w:rsid w:val="166E62D3"/>
    <w:rsid w:val="169F376F"/>
    <w:rsid w:val="16C84A74"/>
    <w:rsid w:val="16E55626"/>
    <w:rsid w:val="16E96798"/>
    <w:rsid w:val="16EA37A7"/>
    <w:rsid w:val="1726179A"/>
    <w:rsid w:val="17914E66"/>
    <w:rsid w:val="17940335"/>
    <w:rsid w:val="17FB2C27"/>
    <w:rsid w:val="184B19A5"/>
    <w:rsid w:val="18585984"/>
    <w:rsid w:val="189F1804"/>
    <w:rsid w:val="18A137CE"/>
    <w:rsid w:val="18B56782"/>
    <w:rsid w:val="18E15979"/>
    <w:rsid w:val="19157D18"/>
    <w:rsid w:val="19801636"/>
    <w:rsid w:val="198253AE"/>
    <w:rsid w:val="198D3D53"/>
    <w:rsid w:val="19B740FF"/>
    <w:rsid w:val="1A0F4768"/>
    <w:rsid w:val="1A604FC3"/>
    <w:rsid w:val="1A9133CF"/>
    <w:rsid w:val="1B027E29"/>
    <w:rsid w:val="1B44357B"/>
    <w:rsid w:val="1BB67591"/>
    <w:rsid w:val="1BCF0653"/>
    <w:rsid w:val="1BFD0D1C"/>
    <w:rsid w:val="1C346708"/>
    <w:rsid w:val="1C427076"/>
    <w:rsid w:val="1C4921B3"/>
    <w:rsid w:val="1C4C1CA3"/>
    <w:rsid w:val="1CD84995"/>
    <w:rsid w:val="1CF77E61"/>
    <w:rsid w:val="1D3A7D4E"/>
    <w:rsid w:val="1DD12460"/>
    <w:rsid w:val="1E652BA8"/>
    <w:rsid w:val="1EA47B74"/>
    <w:rsid w:val="1F1F544D"/>
    <w:rsid w:val="1F30765A"/>
    <w:rsid w:val="1F6B41EE"/>
    <w:rsid w:val="1FBE42D0"/>
    <w:rsid w:val="1FDB75C6"/>
    <w:rsid w:val="20B120D5"/>
    <w:rsid w:val="20B41BC5"/>
    <w:rsid w:val="20D34741"/>
    <w:rsid w:val="21466CC1"/>
    <w:rsid w:val="21957C48"/>
    <w:rsid w:val="21D20555"/>
    <w:rsid w:val="21F20BF7"/>
    <w:rsid w:val="221A488D"/>
    <w:rsid w:val="22342FBD"/>
    <w:rsid w:val="224869F6"/>
    <w:rsid w:val="22521696"/>
    <w:rsid w:val="22813210"/>
    <w:rsid w:val="22A719E1"/>
    <w:rsid w:val="22AC349C"/>
    <w:rsid w:val="22CF0F38"/>
    <w:rsid w:val="22E03145"/>
    <w:rsid w:val="22F664C5"/>
    <w:rsid w:val="231057D9"/>
    <w:rsid w:val="233314C7"/>
    <w:rsid w:val="235B5B93"/>
    <w:rsid w:val="236C49D9"/>
    <w:rsid w:val="23FB7AB3"/>
    <w:rsid w:val="240115C5"/>
    <w:rsid w:val="245B6D34"/>
    <w:rsid w:val="24605D25"/>
    <w:rsid w:val="24EF7670"/>
    <w:rsid w:val="251E59E0"/>
    <w:rsid w:val="253432D4"/>
    <w:rsid w:val="25553977"/>
    <w:rsid w:val="257858B7"/>
    <w:rsid w:val="25C94CC1"/>
    <w:rsid w:val="25F56F08"/>
    <w:rsid w:val="26946721"/>
    <w:rsid w:val="26CD39E1"/>
    <w:rsid w:val="26D42FC1"/>
    <w:rsid w:val="270339F4"/>
    <w:rsid w:val="27190DDB"/>
    <w:rsid w:val="27613B9F"/>
    <w:rsid w:val="2767173F"/>
    <w:rsid w:val="276B56D3"/>
    <w:rsid w:val="27743E5C"/>
    <w:rsid w:val="27CB7F20"/>
    <w:rsid w:val="280D678A"/>
    <w:rsid w:val="28341F69"/>
    <w:rsid w:val="28616AD6"/>
    <w:rsid w:val="28722300"/>
    <w:rsid w:val="289C18BC"/>
    <w:rsid w:val="291424A1"/>
    <w:rsid w:val="29671ECA"/>
    <w:rsid w:val="297D349C"/>
    <w:rsid w:val="29BB2216"/>
    <w:rsid w:val="29C94933"/>
    <w:rsid w:val="29C966E1"/>
    <w:rsid w:val="29D67050"/>
    <w:rsid w:val="29E03A2B"/>
    <w:rsid w:val="29EA6657"/>
    <w:rsid w:val="2ACB4B3B"/>
    <w:rsid w:val="2B17347C"/>
    <w:rsid w:val="2B2122ED"/>
    <w:rsid w:val="2B253DEB"/>
    <w:rsid w:val="2B30453E"/>
    <w:rsid w:val="2B400C25"/>
    <w:rsid w:val="2B465B0F"/>
    <w:rsid w:val="2BB94533"/>
    <w:rsid w:val="2BDF043E"/>
    <w:rsid w:val="2C040E3F"/>
    <w:rsid w:val="2C5D77DD"/>
    <w:rsid w:val="2C666469"/>
    <w:rsid w:val="2C6A6F0F"/>
    <w:rsid w:val="2C6E531E"/>
    <w:rsid w:val="2CB01DDA"/>
    <w:rsid w:val="2D067C4C"/>
    <w:rsid w:val="2D5C05DE"/>
    <w:rsid w:val="2DA03BFD"/>
    <w:rsid w:val="2DE41D3C"/>
    <w:rsid w:val="2E3507E9"/>
    <w:rsid w:val="2EC13202"/>
    <w:rsid w:val="2EC456C9"/>
    <w:rsid w:val="2EE43FBD"/>
    <w:rsid w:val="2EFC54B4"/>
    <w:rsid w:val="2F634EE2"/>
    <w:rsid w:val="2F81180C"/>
    <w:rsid w:val="2F9B0B20"/>
    <w:rsid w:val="2FCE6157"/>
    <w:rsid w:val="303348B4"/>
    <w:rsid w:val="3034062C"/>
    <w:rsid w:val="30444673"/>
    <w:rsid w:val="30556F21"/>
    <w:rsid w:val="307B625B"/>
    <w:rsid w:val="3086532C"/>
    <w:rsid w:val="30C220DC"/>
    <w:rsid w:val="30DF4A3C"/>
    <w:rsid w:val="30F93D50"/>
    <w:rsid w:val="31230DCD"/>
    <w:rsid w:val="3164321B"/>
    <w:rsid w:val="318B0720"/>
    <w:rsid w:val="319A0963"/>
    <w:rsid w:val="320108E0"/>
    <w:rsid w:val="320F30FF"/>
    <w:rsid w:val="32270449"/>
    <w:rsid w:val="323C53BB"/>
    <w:rsid w:val="325F4087"/>
    <w:rsid w:val="32B048E2"/>
    <w:rsid w:val="32F3657D"/>
    <w:rsid w:val="33095DA0"/>
    <w:rsid w:val="33BC1065"/>
    <w:rsid w:val="33CD5020"/>
    <w:rsid w:val="33FE78CF"/>
    <w:rsid w:val="340D213C"/>
    <w:rsid w:val="342D1890"/>
    <w:rsid w:val="34425249"/>
    <w:rsid w:val="344C5C41"/>
    <w:rsid w:val="34724346"/>
    <w:rsid w:val="34802092"/>
    <w:rsid w:val="34B32468"/>
    <w:rsid w:val="34B8182C"/>
    <w:rsid w:val="34CB5A03"/>
    <w:rsid w:val="355A28E3"/>
    <w:rsid w:val="356E2833"/>
    <w:rsid w:val="358B6F41"/>
    <w:rsid w:val="358C31E4"/>
    <w:rsid w:val="35A91A40"/>
    <w:rsid w:val="35D24B6F"/>
    <w:rsid w:val="361A2073"/>
    <w:rsid w:val="3629513B"/>
    <w:rsid w:val="362A55F3"/>
    <w:rsid w:val="3651018A"/>
    <w:rsid w:val="3652180C"/>
    <w:rsid w:val="36575075"/>
    <w:rsid w:val="369B1405"/>
    <w:rsid w:val="36B4161A"/>
    <w:rsid w:val="37256F21"/>
    <w:rsid w:val="37607F59"/>
    <w:rsid w:val="377C0298"/>
    <w:rsid w:val="37D42E21"/>
    <w:rsid w:val="37EC1F0C"/>
    <w:rsid w:val="37EE2E95"/>
    <w:rsid w:val="380E54D5"/>
    <w:rsid w:val="389D65A8"/>
    <w:rsid w:val="38AA3B82"/>
    <w:rsid w:val="38C8225A"/>
    <w:rsid w:val="38EF5A38"/>
    <w:rsid w:val="39186D3D"/>
    <w:rsid w:val="393578EF"/>
    <w:rsid w:val="39B5458C"/>
    <w:rsid w:val="3A06128C"/>
    <w:rsid w:val="3A192D6D"/>
    <w:rsid w:val="3A5913BB"/>
    <w:rsid w:val="3A910CB8"/>
    <w:rsid w:val="3AB46F3A"/>
    <w:rsid w:val="3AB94550"/>
    <w:rsid w:val="3AEC222F"/>
    <w:rsid w:val="3B534BCF"/>
    <w:rsid w:val="3B7E49FA"/>
    <w:rsid w:val="3BAE5149"/>
    <w:rsid w:val="3BB56AC5"/>
    <w:rsid w:val="3BC907C3"/>
    <w:rsid w:val="3C834E15"/>
    <w:rsid w:val="3CE358B4"/>
    <w:rsid w:val="3CE77152"/>
    <w:rsid w:val="3D2161F9"/>
    <w:rsid w:val="3D600CB3"/>
    <w:rsid w:val="3D6F7BF9"/>
    <w:rsid w:val="3DA46DF1"/>
    <w:rsid w:val="3DB42DAD"/>
    <w:rsid w:val="3DEE2762"/>
    <w:rsid w:val="3E0C1DC1"/>
    <w:rsid w:val="3E5500EC"/>
    <w:rsid w:val="3E8409D1"/>
    <w:rsid w:val="3EB05225"/>
    <w:rsid w:val="3EBC460F"/>
    <w:rsid w:val="3EE10EEA"/>
    <w:rsid w:val="3EEF6792"/>
    <w:rsid w:val="3EF618CF"/>
    <w:rsid w:val="3F073ADC"/>
    <w:rsid w:val="3F0D09C6"/>
    <w:rsid w:val="3F724CCD"/>
    <w:rsid w:val="3F76496D"/>
    <w:rsid w:val="3F8F587F"/>
    <w:rsid w:val="3FB6105E"/>
    <w:rsid w:val="3FBA0B4E"/>
    <w:rsid w:val="3FDC7F91"/>
    <w:rsid w:val="40295CD4"/>
    <w:rsid w:val="408E7C60"/>
    <w:rsid w:val="40D23C76"/>
    <w:rsid w:val="40E722CA"/>
    <w:rsid w:val="411C1395"/>
    <w:rsid w:val="413606A8"/>
    <w:rsid w:val="41984EBF"/>
    <w:rsid w:val="41B415CD"/>
    <w:rsid w:val="41BD1AED"/>
    <w:rsid w:val="41C07F72"/>
    <w:rsid w:val="41C77552"/>
    <w:rsid w:val="41EC0D67"/>
    <w:rsid w:val="41EF2605"/>
    <w:rsid w:val="42164036"/>
    <w:rsid w:val="4242307D"/>
    <w:rsid w:val="42554B5E"/>
    <w:rsid w:val="42B45D29"/>
    <w:rsid w:val="432B58BF"/>
    <w:rsid w:val="43870F88"/>
    <w:rsid w:val="439B0C97"/>
    <w:rsid w:val="43C976E9"/>
    <w:rsid w:val="43D61CCF"/>
    <w:rsid w:val="43DE2931"/>
    <w:rsid w:val="44000AFA"/>
    <w:rsid w:val="440B5E1C"/>
    <w:rsid w:val="443662AD"/>
    <w:rsid w:val="447514E8"/>
    <w:rsid w:val="44896D41"/>
    <w:rsid w:val="449851D6"/>
    <w:rsid w:val="44AE6086"/>
    <w:rsid w:val="44BD69EB"/>
    <w:rsid w:val="44FC39B7"/>
    <w:rsid w:val="456D6663"/>
    <w:rsid w:val="45795008"/>
    <w:rsid w:val="45A51959"/>
    <w:rsid w:val="46116FEE"/>
    <w:rsid w:val="46DB30D4"/>
    <w:rsid w:val="47610928"/>
    <w:rsid w:val="47A619B8"/>
    <w:rsid w:val="47AA76FA"/>
    <w:rsid w:val="47DE55F6"/>
    <w:rsid w:val="48141018"/>
    <w:rsid w:val="48681412"/>
    <w:rsid w:val="48855A71"/>
    <w:rsid w:val="48A24875"/>
    <w:rsid w:val="48AE321A"/>
    <w:rsid w:val="490B55D4"/>
    <w:rsid w:val="49B54134"/>
    <w:rsid w:val="4A370FED"/>
    <w:rsid w:val="4A8F7895"/>
    <w:rsid w:val="4A981A8C"/>
    <w:rsid w:val="4ABE1742"/>
    <w:rsid w:val="4B4624F0"/>
    <w:rsid w:val="4B481704"/>
    <w:rsid w:val="4B49722A"/>
    <w:rsid w:val="4B4B2FA2"/>
    <w:rsid w:val="4B567BDA"/>
    <w:rsid w:val="4B663938"/>
    <w:rsid w:val="4B86222C"/>
    <w:rsid w:val="4BE11211"/>
    <w:rsid w:val="4BE61ECF"/>
    <w:rsid w:val="4C166EB7"/>
    <w:rsid w:val="4C500EDF"/>
    <w:rsid w:val="4C7E73A7"/>
    <w:rsid w:val="4C8524E4"/>
    <w:rsid w:val="4D240145"/>
    <w:rsid w:val="4D7F6F33"/>
    <w:rsid w:val="4D875DE8"/>
    <w:rsid w:val="4DAB3F2C"/>
    <w:rsid w:val="4DBD4100"/>
    <w:rsid w:val="4DD76D6F"/>
    <w:rsid w:val="4E3C61DC"/>
    <w:rsid w:val="4E534A5B"/>
    <w:rsid w:val="4E5B5626"/>
    <w:rsid w:val="4E5C2689"/>
    <w:rsid w:val="4E6525CD"/>
    <w:rsid w:val="4E8C5DAC"/>
    <w:rsid w:val="4E9D1D67"/>
    <w:rsid w:val="4F11005F"/>
    <w:rsid w:val="4F1813ED"/>
    <w:rsid w:val="4F6B59C1"/>
    <w:rsid w:val="4F9A62A6"/>
    <w:rsid w:val="4FED4628"/>
    <w:rsid w:val="5019541D"/>
    <w:rsid w:val="502B6EFE"/>
    <w:rsid w:val="50546455"/>
    <w:rsid w:val="50681F00"/>
    <w:rsid w:val="515B016F"/>
    <w:rsid w:val="5187285A"/>
    <w:rsid w:val="527903F5"/>
    <w:rsid w:val="529F276A"/>
    <w:rsid w:val="52DE46FC"/>
    <w:rsid w:val="53AB0A82"/>
    <w:rsid w:val="53F46346"/>
    <w:rsid w:val="54063F0A"/>
    <w:rsid w:val="5425582A"/>
    <w:rsid w:val="546B51E8"/>
    <w:rsid w:val="54A97FFB"/>
    <w:rsid w:val="55346855"/>
    <w:rsid w:val="554A42CB"/>
    <w:rsid w:val="554D5B69"/>
    <w:rsid w:val="564E1B99"/>
    <w:rsid w:val="5661367A"/>
    <w:rsid w:val="567B4047"/>
    <w:rsid w:val="5684148A"/>
    <w:rsid w:val="56CE6835"/>
    <w:rsid w:val="56D7393C"/>
    <w:rsid w:val="56E85B49"/>
    <w:rsid w:val="56F664B8"/>
    <w:rsid w:val="575907F5"/>
    <w:rsid w:val="579253B0"/>
    <w:rsid w:val="57B974E6"/>
    <w:rsid w:val="57D936E4"/>
    <w:rsid w:val="58044C05"/>
    <w:rsid w:val="58392A01"/>
    <w:rsid w:val="58461F41"/>
    <w:rsid w:val="58B8779D"/>
    <w:rsid w:val="590F1AB3"/>
    <w:rsid w:val="59407906"/>
    <w:rsid w:val="59576FB6"/>
    <w:rsid w:val="59637709"/>
    <w:rsid w:val="596853F6"/>
    <w:rsid w:val="596A0A97"/>
    <w:rsid w:val="59814033"/>
    <w:rsid w:val="59815DE1"/>
    <w:rsid w:val="598D5E93"/>
    <w:rsid w:val="59A23BE3"/>
    <w:rsid w:val="59AD6BD6"/>
    <w:rsid w:val="59ED3476"/>
    <w:rsid w:val="59FD24E8"/>
    <w:rsid w:val="5A204149"/>
    <w:rsid w:val="5A6000EC"/>
    <w:rsid w:val="5A843DDB"/>
    <w:rsid w:val="5ABA77FD"/>
    <w:rsid w:val="5AD703AE"/>
    <w:rsid w:val="5B060C94"/>
    <w:rsid w:val="5B172EA1"/>
    <w:rsid w:val="5B661732"/>
    <w:rsid w:val="5B673724"/>
    <w:rsid w:val="5B6F05E7"/>
    <w:rsid w:val="5B995664"/>
    <w:rsid w:val="5BA67D81"/>
    <w:rsid w:val="5BC14BBB"/>
    <w:rsid w:val="5C0056E3"/>
    <w:rsid w:val="5C14118E"/>
    <w:rsid w:val="5C1B076F"/>
    <w:rsid w:val="5C2A09B2"/>
    <w:rsid w:val="5C427AAA"/>
    <w:rsid w:val="5C4355C2"/>
    <w:rsid w:val="5C95407D"/>
    <w:rsid w:val="5CB62246"/>
    <w:rsid w:val="5CDF79EE"/>
    <w:rsid w:val="5D2C0026"/>
    <w:rsid w:val="5D331AE8"/>
    <w:rsid w:val="5D376039"/>
    <w:rsid w:val="5D731EE5"/>
    <w:rsid w:val="5D9B1B67"/>
    <w:rsid w:val="5D9C143B"/>
    <w:rsid w:val="5DCA244C"/>
    <w:rsid w:val="5DED1C97"/>
    <w:rsid w:val="5DF03535"/>
    <w:rsid w:val="5DF9422C"/>
    <w:rsid w:val="5E162F9C"/>
    <w:rsid w:val="5E6A778C"/>
    <w:rsid w:val="5E6C3504"/>
    <w:rsid w:val="5E6D4B86"/>
    <w:rsid w:val="5E8E1C6D"/>
    <w:rsid w:val="5E8F2D4E"/>
    <w:rsid w:val="5EA93E10"/>
    <w:rsid w:val="5EAF1FE5"/>
    <w:rsid w:val="5F025706"/>
    <w:rsid w:val="5F270D77"/>
    <w:rsid w:val="5F7D704B"/>
    <w:rsid w:val="5FEA6866"/>
    <w:rsid w:val="5FF05A6E"/>
    <w:rsid w:val="6005776C"/>
    <w:rsid w:val="60196D73"/>
    <w:rsid w:val="603E670B"/>
    <w:rsid w:val="60483AFC"/>
    <w:rsid w:val="609603C4"/>
    <w:rsid w:val="60A24FBB"/>
    <w:rsid w:val="60BC79ED"/>
    <w:rsid w:val="615362B5"/>
    <w:rsid w:val="622C5484"/>
    <w:rsid w:val="62724E61"/>
    <w:rsid w:val="62854F08"/>
    <w:rsid w:val="62893AE2"/>
    <w:rsid w:val="62BD2580"/>
    <w:rsid w:val="631A52DC"/>
    <w:rsid w:val="63730E90"/>
    <w:rsid w:val="637A221F"/>
    <w:rsid w:val="63902AC3"/>
    <w:rsid w:val="6393508F"/>
    <w:rsid w:val="63B079EF"/>
    <w:rsid w:val="63DC07E4"/>
    <w:rsid w:val="63E678B4"/>
    <w:rsid w:val="646031C3"/>
    <w:rsid w:val="64E35BA2"/>
    <w:rsid w:val="64EA5182"/>
    <w:rsid w:val="64FE478A"/>
    <w:rsid w:val="65091AAC"/>
    <w:rsid w:val="65385EEE"/>
    <w:rsid w:val="655B7E2E"/>
    <w:rsid w:val="659B647C"/>
    <w:rsid w:val="65A672FB"/>
    <w:rsid w:val="65CA39AA"/>
    <w:rsid w:val="65F362B8"/>
    <w:rsid w:val="66AD290B"/>
    <w:rsid w:val="67403BAD"/>
    <w:rsid w:val="67670D0C"/>
    <w:rsid w:val="677B5E6B"/>
    <w:rsid w:val="67BB4BB4"/>
    <w:rsid w:val="686D2352"/>
    <w:rsid w:val="68A37B22"/>
    <w:rsid w:val="68B41D2F"/>
    <w:rsid w:val="68DC1286"/>
    <w:rsid w:val="69036813"/>
    <w:rsid w:val="69F36887"/>
    <w:rsid w:val="6A0E1913"/>
    <w:rsid w:val="6A235D4D"/>
    <w:rsid w:val="6A2922A9"/>
    <w:rsid w:val="6A413A96"/>
    <w:rsid w:val="6A462E5B"/>
    <w:rsid w:val="6A576E16"/>
    <w:rsid w:val="6A6652AB"/>
    <w:rsid w:val="6A7D43A3"/>
    <w:rsid w:val="6A933BC6"/>
    <w:rsid w:val="6AE6019A"/>
    <w:rsid w:val="6B0D1BCA"/>
    <w:rsid w:val="6B2A75BF"/>
    <w:rsid w:val="6B7D28AC"/>
    <w:rsid w:val="6B8C6F93"/>
    <w:rsid w:val="6BB87D88"/>
    <w:rsid w:val="6BD12BF8"/>
    <w:rsid w:val="6C150D37"/>
    <w:rsid w:val="6C4C227F"/>
    <w:rsid w:val="6C6E6699"/>
    <w:rsid w:val="6C727A4A"/>
    <w:rsid w:val="6C7672FB"/>
    <w:rsid w:val="6C7C7008"/>
    <w:rsid w:val="6C8934D3"/>
    <w:rsid w:val="6CFC1EF7"/>
    <w:rsid w:val="6D01750D"/>
    <w:rsid w:val="6D070077"/>
    <w:rsid w:val="6D0A63C2"/>
    <w:rsid w:val="6D4A0EB4"/>
    <w:rsid w:val="6D505150"/>
    <w:rsid w:val="6D6B4986"/>
    <w:rsid w:val="6D851EEC"/>
    <w:rsid w:val="6DC5678C"/>
    <w:rsid w:val="6DD8026E"/>
    <w:rsid w:val="6EC6456A"/>
    <w:rsid w:val="6F2418A9"/>
    <w:rsid w:val="6F375468"/>
    <w:rsid w:val="6F4B0F13"/>
    <w:rsid w:val="6F747727"/>
    <w:rsid w:val="6FC52A74"/>
    <w:rsid w:val="70514307"/>
    <w:rsid w:val="70604CC5"/>
    <w:rsid w:val="70757FF6"/>
    <w:rsid w:val="70D56CE6"/>
    <w:rsid w:val="70E37655"/>
    <w:rsid w:val="70F03B20"/>
    <w:rsid w:val="70F27366"/>
    <w:rsid w:val="70FE6886"/>
    <w:rsid w:val="715F4802"/>
    <w:rsid w:val="719808DD"/>
    <w:rsid w:val="71A861A9"/>
    <w:rsid w:val="71AB5C99"/>
    <w:rsid w:val="72113D4E"/>
    <w:rsid w:val="72155CE2"/>
    <w:rsid w:val="72201995"/>
    <w:rsid w:val="72514A93"/>
    <w:rsid w:val="726E2F4F"/>
    <w:rsid w:val="72912658"/>
    <w:rsid w:val="729F57FE"/>
    <w:rsid w:val="72A048AC"/>
    <w:rsid w:val="72B71F3F"/>
    <w:rsid w:val="72CE5139"/>
    <w:rsid w:val="72D54D33"/>
    <w:rsid w:val="72F13B80"/>
    <w:rsid w:val="72F773E8"/>
    <w:rsid w:val="7318110C"/>
    <w:rsid w:val="7352461E"/>
    <w:rsid w:val="73C31078"/>
    <w:rsid w:val="73F676A0"/>
    <w:rsid w:val="73FE1199"/>
    <w:rsid w:val="74017DF2"/>
    <w:rsid w:val="743A0A62"/>
    <w:rsid w:val="7487654A"/>
    <w:rsid w:val="74B80DF9"/>
    <w:rsid w:val="74DA0D6F"/>
    <w:rsid w:val="75093403"/>
    <w:rsid w:val="75107E41"/>
    <w:rsid w:val="7530098F"/>
    <w:rsid w:val="75382A37"/>
    <w:rsid w:val="756B19C7"/>
    <w:rsid w:val="759251A6"/>
    <w:rsid w:val="75A373B3"/>
    <w:rsid w:val="75F22FEB"/>
    <w:rsid w:val="75FA2D4B"/>
    <w:rsid w:val="76277FE4"/>
    <w:rsid w:val="763D362D"/>
    <w:rsid w:val="76684159"/>
    <w:rsid w:val="76911902"/>
    <w:rsid w:val="76A74C81"/>
    <w:rsid w:val="76A809F9"/>
    <w:rsid w:val="76BB2F16"/>
    <w:rsid w:val="771B11CB"/>
    <w:rsid w:val="773F135E"/>
    <w:rsid w:val="7755292F"/>
    <w:rsid w:val="77813724"/>
    <w:rsid w:val="77A45665"/>
    <w:rsid w:val="77B207AB"/>
    <w:rsid w:val="783267CC"/>
    <w:rsid w:val="78372035"/>
    <w:rsid w:val="7840538D"/>
    <w:rsid w:val="78743289"/>
    <w:rsid w:val="7896382D"/>
    <w:rsid w:val="790939D1"/>
    <w:rsid w:val="792B7DEB"/>
    <w:rsid w:val="795804B5"/>
    <w:rsid w:val="79766B8D"/>
    <w:rsid w:val="79993265"/>
    <w:rsid w:val="79BC6C95"/>
    <w:rsid w:val="79E26053"/>
    <w:rsid w:val="79E61F64"/>
    <w:rsid w:val="79F44681"/>
    <w:rsid w:val="7A102B3D"/>
    <w:rsid w:val="7A1E16FE"/>
    <w:rsid w:val="7A3C3932"/>
    <w:rsid w:val="7A804167"/>
    <w:rsid w:val="7AA045E2"/>
    <w:rsid w:val="7AA54114"/>
    <w:rsid w:val="7ADB75EF"/>
    <w:rsid w:val="7B0F54EB"/>
    <w:rsid w:val="7B2F16E9"/>
    <w:rsid w:val="7B533629"/>
    <w:rsid w:val="7B5D1DB2"/>
    <w:rsid w:val="7B851309"/>
    <w:rsid w:val="7B90109C"/>
    <w:rsid w:val="7BB3231A"/>
    <w:rsid w:val="7BC938EC"/>
    <w:rsid w:val="7BE83190"/>
    <w:rsid w:val="7C431DAC"/>
    <w:rsid w:val="7C43369E"/>
    <w:rsid w:val="7C694787"/>
    <w:rsid w:val="7C6B5E78"/>
    <w:rsid w:val="7C705073"/>
    <w:rsid w:val="7CAA1027"/>
    <w:rsid w:val="7CB1685A"/>
    <w:rsid w:val="7CB24380"/>
    <w:rsid w:val="7CF60710"/>
    <w:rsid w:val="7CF95B0B"/>
    <w:rsid w:val="7D2863F0"/>
    <w:rsid w:val="7D2A03BA"/>
    <w:rsid w:val="7D6A11EA"/>
    <w:rsid w:val="7D9D6DDE"/>
    <w:rsid w:val="7DC45624"/>
    <w:rsid w:val="7DC66335"/>
    <w:rsid w:val="7E503E50"/>
    <w:rsid w:val="7E8B30DA"/>
    <w:rsid w:val="7EC14D4E"/>
    <w:rsid w:val="7ECB1729"/>
    <w:rsid w:val="7ED56104"/>
    <w:rsid w:val="7EEB3B79"/>
    <w:rsid w:val="7EF637C8"/>
    <w:rsid w:val="7F25708B"/>
    <w:rsid w:val="7F9A182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rules v:ext="edit">
        <o:r id="V:Rule1" type="connector" idref="#_x0000_s1032"/>
        <o:r id="V:Rule2" type="connector" idref="#_x0000_s1033"/>
        <o:r id="V:Rule3" type="connector" idref="#_x0000_s1034"/>
        <o:r id="V:Rule4" type="connector" idref="#_x0000_s1035"/>
        <o:r id="V:Rule5" type="connector" idref="#_x0000_s1036"/>
        <o:r id="V:Rule6" type="connector" idref="#_x0000_s1037"/>
        <o:r id="V:Rule7" type="connector" idref="#_x0000_s1038"/>
        <o:r id="V:Rule8" type="connector" idref="#_x0000_s1039"/>
        <o:r id="V:Rule9" type="connector" idref="#_x0000_s1040"/>
        <o:r id="V:Rule10" type="connector" idref="#_x0000_s1041"/>
        <o:r id="V:Rule11" type="connector" idref="#_x0000_s1042"/>
        <o:r id="V:Rule12" type="connector" idref="#_x0000_s1043"/>
        <o:r id="V:Rule13" type="connector" idref="#_x0000_s1044"/>
        <o:r id="V:Rule14" type="connector" idref="#_x0000_s1045"/>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name="annotation text"/>
    <w:lsdException w:qFormat="1" w:uiPriority="99" w:semiHidden="0" w:name="header"/>
    <w:lsdException w:qFormat="1" w:uiPriority="0" w:semiHidden="0" w:name="footer"/>
    <w:lsdException w:uiPriority="99" w:name="index heading"/>
    <w:lsdException w:qFormat="1" w:uiPriority="0" w:semiHidden="0" w:name="caption"/>
    <w:lsdException w:uiPriority="99" w:name="table of figures"/>
    <w:lsdException w:uiPriority="99" w:name="envelope address"/>
    <w:lsdException w:uiPriority="99" w:name="envelope return"/>
    <w:lsdException w:uiPriority="99" w:name="footnote reference"/>
    <w:lsdException w:qFormat="1" w:uiPriority="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pPr>
    <w:rPr>
      <w:rFonts w:asciiTheme="minorHAnsi" w:hAnsiTheme="minorHAnsi" w:eastAsiaTheme="minorEastAsia" w:cstheme="minorBidi"/>
      <w:sz w:val="22"/>
      <w:szCs w:val="22"/>
      <w:lang w:val="en-US" w:eastAsia="en-US" w:bidi="en-US"/>
    </w:rPr>
  </w:style>
  <w:style w:type="paragraph" w:styleId="2">
    <w:name w:val="heading 1"/>
    <w:basedOn w:val="1"/>
    <w:next w:val="1"/>
    <w:link w:val="74"/>
    <w:qFormat/>
    <w:uiPriority w:val="9"/>
    <w:pPr>
      <w:keepNext/>
      <w:keepLines/>
      <w:spacing w:before="480" w:after="0"/>
      <w:outlineLvl w:val="0"/>
    </w:pPr>
    <w:rPr>
      <w:rFonts w:asciiTheme="majorHAnsi" w:hAnsiTheme="majorHAnsi" w:eastAsiaTheme="majorEastAsia" w:cstheme="majorBidi"/>
      <w:b/>
      <w:bCs/>
      <w:color w:val="366091" w:themeColor="accent1" w:themeShade="BF"/>
      <w:sz w:val="28"/>
      <w:szCs w:val="28"/>
    </w:rPr>
  </w:style>
  <w:style w:type="paragraph" w:styleId="3">
    <w:name w:val="heading 2"/>
    <w:basedOn w:val="1"/>
    <w:next w:val="1"/>
    <w:link w:val="76"/>
    <w:unhideWhenUsed/>
    <w:qFormat/>
    <w:uiPriority w:val="9"/>
    <w:pPr>
      <w:keepNext/>
      <w:keepLines/>
      <w:spacing w:before="200" w:after="0"/>
      <w:outlineLvl w:val="1"/>
    </w:pPr>
    <w:rPr>
      <w:rFonts w:asciiTheme="majorHAnsi" w:hAnsiTheme="majorHAnsi" w:eastAsiaTheme="majorEastAsia" w:cstheme="majorBidi"/>
      <w:b/>
      <w:bCs/>
      <w:color w:val="4F81BD" w:themeColor="accent1"/>
      <w:sz w:val="26"/>
      <w:szCs w:val="26"/>
    </w:rPr>
  </w:style>
  <w:style w:type="paragraph" w:styleId="4">
    <w:name w:val="heading 3"/>
    <w:basedOn w:val="1"/>
    <w:next w:val="1"/>
    <w:link w:val="77"/>
    <w:unhideWhenUsed/>
    <w:qFormat/>
    <w:uiPriority w:val="9"/>
    <w:pPr>
      <w:keepNext/>
      <w:keepLines/>
      <w:spacing w:before="200" w:after="0"/>
      <w:outlineLvl w:val="2"/>
    </w:pPr>
    <w:rPr>
      <w:rFonts w:asciiTheme="majorHAnsi" w:hAnsiTheme="majorHAnsi" w:eastAsiaTheme="majorEastAsia" w:cstheme="majorBidi"/>
      <w:b/>
      <w:bCs/>
      <w:color w:val="4F81BD" w:themeColor="accent1"/>
    </w:rPr>
  </w:style>
  <w:style w:type="paragraph" w:styleId="5">
    <w:name w:val="heading 4"/>
    <w:basedOn w:val="1"/>
    <w:next w:val="1"/>
    <w:link w:val="78"/>
    <w:semiHidden/>
    <w:unhideWhenUsed/>
    <w:qFormat/>
    <w:uiPriority w:val="9"/>
    <w:pPr>
      <w:keepNext/>
      <w:keepLines/>
      <w:spacing w:before="200" w:after="0"/>
      <w:outlineLvl w:val="3"/>
    </w:pPr>
    <w:rPr>
      <w:rFonts w:asciiTheme="majorHAnsi" w:hAnsiTheme="majorHAnsi" w:eastAsiaTheme="majorEastAsia" w:cstheme="majorBidi"/>
      <w:b/>
      <w:bCs/>
      <w:i/>
      <w:iCs/>
      <w:color w:val="4F81BD" w:themeColor="accent1"/>
    </w:rPr>
  </w:style>
  <w:style w:type="paragraph" w:styleId="6">
    <w:name w:val="heading 5"/>
    <w:basedOn w:val="1"/>
    <w:next w:val="1"/>
    <w:link w:val="79"/>
    <w:semiHidden/>
    <w:unhideWhenUsed/>
    <w:qFormat/>
    <w:uiPriority w:val="9"/>
    <w:pPr>
      <w:keepNext/>
      <w:keepLines/>
      <w:spacing w:before="200" w:after="0"/>
      <w:outlineLvl w:val="4"/>
    </w:pPr>
    <w:rPr>
      <w:rFonts w:asciiTheme="majorHAnsi" w:hAnsiTheme="majorHAnsi" w:eastAsiaTheme="majorEastAsia" w:cstheme="majorBidi"/>
      <w:color w:val="243F61" w:themeColor="accent1" w:themeShade="7F"/>
    </w:rPr>
  </w:style>
  <w:style w:type="paragraph" w:styleId="7">
    <w:name w:val="heading 6"/>
    <w:basedOn w:val="1"/>
    <w:next w:val="1"/>
    <w:link w:val="80"/>
    <w:semiHidden/>
    <w:unhideWhenUsed/>
    <w:qFormat/>
    <w:uiPriority w:val="9"/>
    <w:pPr>
      <w:keepNext/>
      <w:keepLines/>
      <w:spacing w:before="200" w:after="0"/>
      <w:outlineLvl w:val="5"/>
    </w:pPr>
    <w:rPr>
      <w:rFonts w:asciiTheme="majorHAnsi" w:hAnsiTheme="majorHAnsi" w:eastAsiaTheme="majorEastAsia" w:cstheme="majorBidi"/>
      <w:i/>
      <w:iCs/>
      <w:color w:val="243F61" w:themeColor="accent1" w:themeShade="7F"/>
    </w:rPr>
  </w:style>
  <w:style w:type="paragraph" w:styleId="8">
    <w:name w:val="heading 7"/>
    <w:basedOn w:val="1"/>
    <w:next w:val="1"/>
    <w:link w:val="81"/>
    <w:semiHidden/>
    <w:unhideWhenUsed/>
    <w:qFormat/>
    <w:uiPriority w:val="9"/>
    <w:pPr>
      <w:keepNext/>
      <w:keepLines/>
      <w:spacing w:before="200" w:after="0"/>
      <w:outlineLvl w:val="6"/>
    </w:pPr>
    <w:rPr>
      <w:rFonts w:asciiTheme="majorHAnsi" w:hAnsiTheme="majorHAnsi" w:eastAsiaTheme="majorEastAsia" w:cstheme="majorBidi"/>
      <w:i/>
      <w:iCs/>
      <w:color w:val="3F3F3F" w:themeColor="text1" w:themeTint="BF"/>
    </w:rPr>
  </w:style>
  <w:style w:type="paragraph" w:styleId="9">
    <w:name w:val="heading 8"/>
    <w:basedOn w:val="1"/>
    <w:next w:val="1"/>
    <w:link w:val="82"/>
    <w:semiHidden/>
    <w:unhideWhenUsed/>
    <w:qFormat/>
    <w:uiPriority w:val="9"/>
    <w:pPr>
      <w:keepNext/>
      <w:keepLines/>
      <w:spacing w:before="200" w:after="0"/>
      <w:outlineLvl w:val="7"/>
    </w:pPr>
    <w:rPr>
      <w:rFonts w:asciiTheme="majorHAnsi" w:hAnsiTheme="majorHAnsi" w:eastAsiaTheme="majorEastAsia" w:cstheme="majorBidi"/>
      <w:color w:val="4F81BD" w:themeColor="accent1"/>
      <w:sz w:val="20"/>
      <w:szCs w:val="20"/>
    </w:rPr>
  </w:style>
  <w:style w:type="paragraph" w:styleId="10">
    <w:name w:val="heading 9"/>
    <w:basedOn w:val="1"/>
    <w:next w:val="1"/>
    <w:link w:val="83"/>
    <w:semiHidden/>
    <w:unhideWhenUsed/>
    <w:qFormat/>
    <w:uiPriority w:val="9"/>
    <w:pPr>
      <w:keepNext/>
      <w:keepLines/>
      <w:spacing w:before="200" w:after="0"/>
      <w:outlineLvl w:val="8"/>
    </w:pPr>
    <w:rPr>
      <w:rFonts w:asciiTheme="majorHAnsi" w:hAnsiTheme="majorHAnsi" w:eastAsiaTheme="majorEastAsia" w:cstheme="majorBidi"/>
      <w:i/>
      <w:iCs/>
      <w:color w:val="3F3F3F" w:themeColor="text1" w:themeTint="BF"/>
      <w:sz w:val="20"/>
      <w:szCs w:val="20"/>
    </w:rPr>
  </w:style>
  <w:style w:type="character" w:default="1" w:styleId="34">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autoRedefine/>
    <w:unhideWhenUsed/>
    <w:qFormat/>
    <w:uiPriority w:val="39"/>
    <w:pPr>
      <w:widowControl w:val="0"/>
      <w:spacing w:after="0"/>
      <w:ind w:left="2520" w:leftChars="1200"/>
      <w:jc w:val="both"/>
    </w:pPr>
    <w:rPr>
      <w:kern w:val="2"/>
      <w:sz w:val="21"/>
      <w:lang w:eastAsia="zh-CN" w:bidi="ar-SA"/>
    </w:rPr>
  </w:style>
  <w:style w:type="paragraph" w:styleId="12">
    <w:name w:val="caption"/>
    <w:basedOn w:val="1"/>
    <w:next w:val="1"/>
    <w:unhideWhenUsed/>
    <w:qFormat/>
    <w:uiPriority w:val="0"/>
    <w:rPr>
      <w:b/>
      <w:bCs/>
      <w:color w:val="4F81BD" w:themeColor="accent1"/>
      <w:sz w:val="18"/>
      <w:szCs w:val="18"/>
    </w:rPr>
  </w:style>
  <w:style w:type="paragraph" w:styleId="13">
    <w:name w:val="annotation text"/>
    <w:basedOn w:val="1"/>
    <w:link w:val="66"/>
    <w:semiHidden/>
    <w:unhideWhenUsed/>
    <w:qFormat/>
    <w:uiPriority w:val="0"/>
  </w:style>
  <w:style w:type="paragraph" w:styleId="14">
    <w:name w:val="Body Text"/>
    <w:basedOn w:val="1"/>
    <w:link w:val="71"/>
    <w:qFormat/>
    <w:uiPriority w:val="0"/>
    <w:pPr>
      <w:jc w:val="center"/>
    </w:pPr>
    <w:rPr>
      <w:lang w:eastAsia="zh-CN"/>
    </w:rPr>
  </w:style>
  <w:style w:type="paragraph" w:styleId="15">
    <w:name w:val="toc 5"/>
    <w:basedOn w:val="1"/>
    <w:next w:val="1"/>
    <w:autoRedefine/>
    <w:unhideWhenUsed/>
    <w:qFormat/>
    <w:uiPriority w:val="39"/>
    <w:pPr>
      <w:widowControl w:val="0"/>
      <w:spacing w:after="0"/>
      <w:ind w:left="1680" w:leftChars="800"/>
      <w:jc w:val="both"/>
    </w:pPr>
    <w:rPr>
      <w:kern w:val="2"/>
      <w:sz w:val="21"/>
      <w:lang w:eastAsia="zh-CN" w:bidi="ar-SA"/>
    </w:rPr>
  </w:style>
  <w:style w:type="paragraph" w:styleId="16">
    <w:name w:val="toc 3"/>
    <w:basedOn w:val="1"/>
    <w:next w:val="1"/>
    <w:autoRedefine/>
    <w:unhideWhenUsed/>
    <w:qFormat/>
    <w:uiPriority w:val="39"/>
    <w:pPr>
      <w:spacing w:after="100"/>
      <w:ind w:left="440"/>
    </w:pPr>
    <w:rPr>
      <w:lang w:eastAsia="zh-CN"/>
    </w:rPr>
  </w:style>
  <w:style w:type="paragraph" w:styleId="17">
    <w:name w:val="toc 8"/>
    <w:basedOn w:val="1"/>
    <w:next w:val="1"/>
    <w:autoRedefine/>
    <w:unhideWhenUsed/>
    <w:qFormat/>
    <w:uiPriority w:val="39"/>
    <w:pPr>
      <w:widowControl w:val="0"/>
      <w:spacing w:after="0"/>
      <w:ind w:left="2940" w:leftChars="1400"/>
      <w:jc w:val="both"/>
    </w:pPr>
    <w:rPr>
      <w:kern w:val="2"/>
      <w:sz w:val="21"/>
      <w:lang w:eastAsia="zh-CN" w:bidi="ar-SA"/>
    </w:rPr>
  </w:style>
  <w:style w:type="paragraph" w:styleId="18">
    <w:name w:val="Date"/>
    <w:basedOn w:val="1"/>
    <w:next w:val="1"/>
    <w:link w:val="70"/>
    <w:semiHidden/>
    <w:unhideWhenUsed/>
    <w:qFormat/>
    <w:uiPriority w:val="99"/>
    <w:pPr>
      <w:ind w:left="100" w:leftChars="2500"/>
    </w:pPr>
  </w:style>
  <w:style w:type="paragraph" w:styleId="19">
    <w:name w:val="Body Text Indent 2"/>
    <w:basedOn w:val="1"/>
    <w:link w:val="72"/>
    <w:qFormat/>
    <w:uiPriority w:val="0"/>
    <w:pPr>
      <w:ind w:left="502" w:leftChars="239"/>
    </w:pPr>
    <w:rPr>
      <w:szCs w:val="20"/>
      <w:lang w:eastAsia="zh-CN"/>
    </w:rPr>
  </w:style>
  <w:style w:type="paragraph" w:styleId="20">
    <w:name w:val="Balloon Text"/>
    <w:basedOn w:val="1"/>
    <w:link w:val="42"/>
    <w:semiHidden/>
    <w:unhideWhenUsed/>
    <w:qFormat/>
    <w:uiPriority w:val="99"/>
    <w:rPr>
      <w:sz w:val="18"/>
      <w:szCs w:val="18"/>
      <w:lang w:eastAsia="zh-CN"/>
    </w:rPr>
  </w:style>
  <w:style w:type="paragraph" w:styleId="21">
    <w:name w:val="footer"/>
    <w:basedOn w:val="1"/>
    <w:link w:val="41"/>
    <w:unhideWhenUsed/>
    <w:qFormat/>
    <w:uiPriority w:val="0"/>
    <w:pPr>
      <w:tabs>
        <w:tab w:val="center" w:pos="4153"/>
        <w:tab w:val="right" w:pos="8306"/>
      </w:tabs>
      <w:snapToGrid w:val="0"/>
    </w:pPr>
    <w:rPr>
      <w:sz w:val="18"/>
      <w:szCs w:val="18"/>
      <w:lang w:eastAsia="zh-CN"/>
    </w:rPr>
  </w:style>
  <w:style w:type="paragraph" w:styleId="22">
    <w:name w:val="header"/>
    <w:basedOn w:val="1"/>
    <w:link w:val="40"/>
    <w:unhideWhenUsed/>
    <w:qFormat/>
    <w:uiPriority w:val="99"/>
    <w:pPr>
      <w:pBdr>
        <w:bottom w:val="single" w:color="auto" w:sz="6" w:space="1"/>
      </w:pBdr>
      <w:tabs>
        <w:tab w:val="center" w:pos="4153"/>
        <w:tab w:val="right" w:pos="8306"/>
      </w:tabs>
      <w:snapToGrid w:val="0"/>
      <w:jc w:val="center"/>
    </w:pPr>
    <w:rPr>
      <w:sz w:val="18"/>
      <w:szCs w:val="18"/>
      <w:lang w:eastAsia="zh-CN"/>
    </w:rPr>
  </w:style>
  <w:style w:type="paragraph" w:styleId="23">
    <w:name w:val="toc 1"/>
    <w:basedOn w:val="1"/>
    <w:next w:val="1"/>
    <w:autoRedefine/>
    <w:unhideWhenUsed/>
    <w:qFormat/>
    <w:uiPriority w:val="39"/>
    <w:pPr>
      <w:spacing w:after="100"/>
    </w:pPr>
    <w:rPr>
      <w:lang w:eastAsia="zh-CN"/>
    </w:rPr>
  </w:style>
  <w:style w:type="paragraph" w:styleId="24">
    <w:name w:val="toc 4"/>
    <w:basedOn w:val="1"/>
    <w:next w:val="1"/>
    <w:autoRedefine/>
    <w:unhideWhenUsed/>
    <w:qFormat/>
    <w:uiPriority w:val="39"/>
    <w:pPr>
      <w:widowControl w:val="0"/>
      <w:spacing w:after="0"/>
      <w:ind w:left="1260" w:leftChars="600"/>
      <w:jc w:val="both"/>
    </w:pPr>
    <w:rPr>
      <w:kern w:val="2"/>
      <w:sz w:val="21"/>
      <w:lang w:eastAsia="zh-CN" w:bidi="ar-SA"/>
    </w:rPr>
  </w:style>
  <w:style w:type="paragraph" w:styleId="25">
    <w:name w:val="Subtitle"/>
    <w:basedOn w:val="1"/>
    <w:next w:val="1"/>
    <w:link w:val="85"/>
    <w:qFormat/>
    <w:uiPriority w:val="11"/>
    <w:rPr>
      <w:rFonts w:asciiTheme="majorHAnsi" w:hAnsiTheme="majorHAnsi" w:eastAsiaTheme="majorEastAsia" w:cstheme="majorBidi"/>
      <w:i/>
      <w:iCs/>
      <w:color w:val="4F81BD" w:themeColor="accent1"/>
      <w:spacing w:val="15"/>
      <w:sz w:val="24"/>
      <w:szCs w:val="24"/>
    </w:rPr>
  </w:style>
  <w:style w:type="paragraph" w:styleId="26">
    <w:name w:val="toc 6"/>
    <w:basedOn w:val="1"/>
    <w:next w:val="1"/>
    <w:autoRedefine/>
    <w:unhideWhenUsed/>
    <w:qFormat/>
    <w:uiPriority w:val="39"/>
    <w:pPr>
      <w:widowControl w:val="0"/>
      <w:spacing w:after="0"/>
      <w:ind w:left="2100" w:leftChars="1000"/>
      <w:jc w:val="both"/>
    </w:pPr>
    <w:rPr>
      <w:kern w:val="2"/>
      <w:sz w:val="21"/>
      <w:lang w:eastAsia="zh-CN" w:bidi="ar-SA"/>
    </w:rPr>
  </w:style>
  <w:style w:type="paragraph" w:styleId="27">
    <w:name w:val="toc 2"/>
    <w:basedOn w:val="1"/>
    <w:next w:val="1"/>
    <w:autoRedefine/>
    <w:unhideWhenUsed/>
    <w:qFormat/>
    <w:uiPriority w:val="39"/>
    <w:pPr>
      <w:spacing w:after="100"/>
      <w:ind w:left="220"/>
    </w:pPr>
    <w:rPr>
      <w:lang w:eastAsia="zh-CN"/>
    </w:rPr>
  </w:style>
  <w:style w:type="paragraph" w:styleId="28">
    <w:name w:val="toc 9"/>
    <w:basedOn w:val="1"/>
    <w:next w:val="1"/>
    <w:autoRedefine/>
    <w:unhideWhenUsed/>
    <w:qFormat/>
    <w:uiPriority w:val="39"/>
    <w:pPr>
      <w:widowControl w:val="0"/>
      <w:spacing w:after="0"/>
      <w:ind w:left="3360" w:leftChars="1600"/>
      <w:jc w:val="both"/>
    </w:pPr>
    <w:rPr>
      <w:kern w:val="2"/>
      <w:sz w:val="21"/>
      <w:lang w:eastAsia="zh-CN" w:bidi="ar-SA"/>
    </w:rPr>
  </w:style>
  <w:style w:type="paragraph" w:styleId="29">
    <w:name w:val="Normal (Web)"/>
    <w:basedOn w:val="1"/>
    <w:semiHidden/>
    <w:unhideWhenUsed/>
    <w:qFormat/>
    <w:uiPriority w:val="99"/>
    <w:pPr>
      <w:spacing w:beforeAutospacing="1" w:afterAutospacing="1"/>
    </w:pPr>
    <w:rPr>
      <w:sz w:val="24"/>
      <w:lang w:eastAsia="zh-CN"/>
    </w:rPr>
  </w:style>
  <w:style w:type="paragraph" w:styleId="30">
    <w:name w:val="Title"/>
    <w:basedOn w:val="1"/>
    <w:next w:val="1"/>
    <w:link w:val="84"/>
    <w:qFormat/>
    <w:uiPriority w:val="10"/>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paragraph" w:styleId="31">
    <w:name w:val="annotation subject"/>
    <w:basedOn w:val="13"/>
    <w:next w:val="13"/>
    <w:link w:val="67"/>
    <w:semiHidden/>
    <w:unhideWhenUsed/>
    <w:qFormat/>
    <w:uiPriority w:val="0"/>
    <w:rPr>
      <w:b/>
      <w:bCs/>
    </w:rPr>
  </w:style>
  <w:style w:type="table" w:styleId="33">
    <w:name w:val="Table Grid"/>
    <w:basedOn w:val="3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35">
    <w:name w:val="Strong"/>
    <w:basedOn w:val="34"/>
    <w:qFormat/>
    <w:uiPriority w:val="22"/>
    <w:rPr>
      <w:b/>
      <w:bCs/>
    </w:rPr>
  </w:style>
  <w:style w:type="character" w:styleId="36">
    <w:name w:val="page number"/>
    <w:basedOn w:val="34"/>
    <w:qFormat/>
    <w:uiPriority w:val="0"/>
  </w:style>
  <w:style w:type="character" w:styleId="37">
    <w:name w:val="Emphasis"/>
    <w:basedOn w:val="34"/>
    <w:qFormat/>
    <w:uiPriority w:val="20"/>
    <w:rPr>
      <w:i/>
      <w:iCs/>
    </w:rPr>
  </w:style>
  <w:style w:type="character" w:styleId="38">
    <w:name w:val="Hyperlink"/>
    <w:basedOn w:val="34"/>
    <w:unhideWhenUsed/>
    <w:qFormat/>
    <w:uiPriority w:val="99"/>
    <w:rPr>
      <w:color w:val="0000FF" w:themeColor="hyperlink"/>
      <w:u w:val="single"/>
    </w:rPr>
  </w:style>
  <w:style w:type="character" w:styleId="39">
    <w:name w:val="annotation reference"/>
    <w:basedOn w:val="34"/>
    <w:semiHidden/>
    <w:unhideWhenUsed/>
    <w:qFormat/>
    <w:uiPriority w:val="0"/>
    <w:rPr>
      <w:sz w:val="21"/>
      <w:szCs w:val="21"/>
    </w:rPr>
  </w:style>
  <w:style w:type="character" w:customStyle="1" w:styleId="40">
    <w:name w:val="页眉 Char"/>
    <w:basedOn w:val="34"/>
    <w:link w:val="22"/>
    <w:qFormat/>
    <w:uiPriority w:val="99"/>
    <w:rPr>
      <w:sz w:val="18"/>
      <w:szCs w:val="18"/>
    </w:rPr>
  </w:style>
  <w:style w:type="character" w:customStyle="1" w:styleId="41">
    <w:name w:val="页脚 Char"/>
    <w:basedOn w:val="34"/>
    <w:link w:val="21"/>
    <w:qFormat/>
    <w:uiPriority w:val="0"/>
    <w:rPr>
      <w:sz w:val="18"/>
      <w:szCs w:val="18"/>
    </w:rPr>
  </w:style>
  <w:style w:type="character" w:customStyle="1" w:styleId="42">
    <w:name w:val="批注框文本 Char"/>
    <w:basedOn w:val="34"/>
    <w:link w:val="20"/>
    <w:semiHidden/>
    <w:qFormat/>
    <w:uiPriority w:val="99"/>
    <w:rPr>
      <w:sz w:val="18"/>
      <w:szCs w:val="18"/>
    </w:rPr>
  </w:style>
  <w:style w:type="paragraph" w:customStyle="1" w:styleId="43">
    <w:name w:val="Normal_1"/>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44">
    <w:name w:val="Normal_2"/>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45">
    <w:name w:val="Normal_3"/>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46">
    <w:name w:val="Normal_4"/>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47">
    <w:name w:val="Normal_5"/>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48">
    <w:name w:val="Normal_6"/>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49">
    <w:name w:val="Normal_7"/>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50">
    <w:name w:val="Normal_8"/>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51">
    <w:name w:val="Normal_9"/>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52">
    <w:name w:val="Normal_10"/>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53">
    <w:name w:val="Normal_11"/>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54">
    <w:name w:val="Normal_12"/>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55">
    <w:name w:val="Normal_13"/>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56">
    <w:name w:val="Normal_14"/>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57">
    <w:name w:val="Normal_15"/>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58">
    <w:name w:val="Normal_16"/>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59">
    <w:name w:val="Normal_17"/>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60">
    <w:name w:val="Normal_19"/>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61">
    <w:name w:val="Normal_22"/>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62">
    <w:name w:val="Normal_23"/>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63">
    <w:name w:val="Normal_32"/>
    <w:qFormat/>
    <w:uiPriority w:val="0"/>
    <w:pPr>
      <w:spacing w:before="120" w:after="240"/>
      <w:jc w:val="both"/>
    </w:pPr>
    <w:rPr>
      <w:rFonts w:asciiTheme="minorHAnsi" w:hAnsiTheme="minorHAnsi" w:eastAsiaTheme="minorHAnsi" w:cstheme="minorBidi"/>
      <w:sz w:val="22"/>
      <w:szCs w:val="22"/>
      <w:lang w:val="ru-RU" w:eastAsia="en-US" w:bidi="en-US"/>
    </w:rPr>
  </w:style>
  <w:style w:type="paragraph" w:customStyle="1" w:styleId="64">
    <w:name w:val="Normal_33"/>
    <w:qFormat/>
    <w:uiPriority w:val="0"/>
    <w:pPr>
      <w:spacing w:before="120" w:after="240"/>
      <w:jc w:val="both"/>
    </w:pPr>
    <w:rPr>
      <w:rFonts w:asciiTheme="minorHAnsi" w:hAnsiTheme="minorHAnsi" w:eastAsiaTheme="minorHAnsi" w:cstheme="minorBidi"/>
      <w:sz w:val="22"/>
      <w:szCs w:val="22"/>
      <w:lang w:val="ru-RU" w:eastAsia="en-US" w:bidi="en-US"/>
    </w:rPr>
  </w:style>
  <w:style w:type="paragraph" w:styleId="65">
    <w:name w:val="List Paragraph"/>
    <w:basedOn w:val="1"/>
    <w:qFormat/>
    <w:uiPriority w:val="1"/>
    <w:pPr>
      <w:ind w:left="720"/>
      <w:contextualSpacing/>
    </w:pPr>
  </w:style>
  <w:style w:type="character" w:customStyle="1" w:styleId="66">
    <w:name w:val="批注文字 Char"/>
    <w:basedOn w:val="34"/>
    <w:link w:val="13"/>
    <w:semiHidden/>
    <w:qFormat/>
    <w:uiPriority w:val="0"/>
    <w:rPr>
      <w:kern w:val="0"/>
      <w:sz w:val="22"/>
      <w:lang w:eastAsia="en-US"/>
    </w:rPr>
  </w:style>
  <w:style w:type="character" w:customStyle="1" w:styleId="67">
    <w:name w:val="批注主题 Char"/>
    <w:basedOn w:val="66"/>
    <w:link w:val="31"/>
    <w:semiHidden/>
    <w:qFormat/>
    <w:uiPriority w:val="0"/>
    <w:rPr>
      <w:b/>
      <w:bCs/>
      <w:kern w:val="0"/>
      <w:sz w:val="22"/>
      <w:lang w:eastAsia="en-US"/>
    </w:rPr>
  </w:style>
  <w:style w:type="paragraph" w:styleId="68">
    <w:name w:val="No Spacing"/>
    <w:link w:val="69"/>
    <w:qFormat/>
    <w:uiPriority w:val="1"/>
    <w:rPr>
      <w:rFonts w:asciiTheme="minorHAnsi" w:hAnsiTheme="minorHAnsi" w:eastAsiaTheme="minorEastAsia" w:cstheme="minorBidi"/>
      <w:sz w:val="22"/>
      <w:szCs w:val="22"/>
      <w:lang w:val="en-US" w:eastAsia="en-US" w:bidi="en-US"/>
    </w:rPr>
  </w:style>
  <w:style w:type="character" w:customStyle="1" w:styleId="69">
    <w:name w:val="无间隔 Char"/>
    <w:basedOn w:val="34"/>
    <w:link w:val="68"/>
    <w:qFormat/>
    <w:uiPriority w:val="1"/>
  </w:style>
  <w:style w:type="character" w:customStyle="1" w:styleId="70">
    <w:name w:val="日期 Char"/>
    <w:basedOn w:val="34"/>
    <w:link w:val="18"/>
    <w:semiHidden/>
    <w:qFormat/>
    <w:uiPriority w:val="99"/>
    <w:rPr>
      <w:rFonts w:ascii="Times New Roman" w:hAnsi="Times New Roman" w:eastAsia="宋体" w:cs="Times New Roman"/>
      <w:szCs w:val="24"/>
      <w:lang w:eastAsia="ja-JP"/>
    </w:rPr>
  </w:style>
  <w:style w:type="character" w:customStyle="1" w:styleId="71">
    <w:name w:val="正文文本 Char"/>
    <w:basedOn w:val="34"/>
    <w:link w:val="14"/>
    <w:qFormat/>
    <w:uiPriority w:val="0"/>
    <w:rPr>
      <w:rFonts w:ascii="Times New Roman" w:hAnsi="Times New Roman" w:eastAsia="宋体" w:cs="Times New Roman"/>
      <w:szCs w:val="24"/>
    </w:rPr>
  </w:style>
  <w:style w:type="character" w:customStyle="1" w:styleId="72">
    <w:name w:val="正文文本缩进 2 Char"/>
    <w:basedOn w:val="34"/>
    <w:link w:val="19"/>
    <w:qFormat/>
    <w:uiPriority w:val="0"/>
    <w:rPr>
      <w:rFonts w:ascii="Times New Roman" w:hAnsi="Times New Roman" w:eastAsia="宋体" w:cs="Times New Roman"/>
      <w:szCs w:val="20"/>
    </w:rPr>
  </w:style>
  <w:style w:type="paragraph" w:customStyle="1" w:styleId="73">
    <w:name w:val="1.1number"/>
    <w:basedOn w:val="1"/>
    <w:qFormat/>
    <w:uiPriority w:val="0"/>
    <w:pPr>
      <w:overflowPunct w:val="0"/>
      <w:autoSpaceDE w:val="0"/>
      <w:autoSpaceDN w:val="0"/>
      <w:adjustRightInd w:val="0"/>
      <w:ind w:left="540" w:hanging="360"/>
      <w:textAlignment w:val="baseline"/>
    </w:pPr>
    <w:rPr>
      <w:rFonts w:ascii="楷体" w:hAnsi="楷体"/>
      <w:sz w:val="28"/>
      <w:szCs w:val="20"/>
      <w:lang w:eastAsia="zh-CN"/>
    </w:rPr>
  </w:style>
  <w:style w:type="character" w:customStyle="1" w:styleId="74">
    <w:name w:val="标题 1 Char"/>
    <w:basedOn w:val="34"/>
    <w:link w:val="2"/>
    <w:qFormat/>
    <w:uiPriority w:val="9"/>
    <w:rPr>
      <w:rFonts w:asciiTheme="majorHAnsi" w:hAnsiTheme="majorHAnsi" w:eastAsiaTheme="majorEastAsia" w:cstheme="majorBidi"/>
      <w:b/>
      <w:bCs/>
      <w:color w:val="366091" w:themeColor="accent1" w:themeShade="BF"/>
      <w:sz w:val="28"/>
      <w:szCs w:val="28"/>
    </w:rPr>
  </w:style>
  <w:style w:type="paragraph" w:customStyle="1" w:styleId="75">
    <w:name w:val="TOC 标题1"/>
    <w:basedOn w:val="2"/>
    <w:next w:val="1"/>
    <w:unhideWhenUsed/>
    <w:qFormat/>
    <w:uiPriority w:val="39"/>
    <w:pPr>
      <w:outlineLvl w:val="9"/>
    </w:pPr>
  </w:style>
  <w:style w:type="character" w:customStyle="1" w:styleId="76">
    <w:name w:val="标题 2 Char"/>
    <w:basedOn w:val="34"/>
    <w:link w:val="3"/>
    <w:qFormat/>
    <w:uiPriority w:val="9"/>
    <w:rPr>
      <w:rFonts w:asciiTheme="majorHAnsi" w:hAnsiTheme="majorHAnsi" w:eastAsiaTheme="majorEastAsia" w:cstheme="majorBidi"/>
      <w:b/>
      <w:bCs/>
      <w:color w:val="4F81BD" w:themeColor="accent1"/>
      <w:sz w:val="26"/>
      <w:szCs w:val="26"/>
    </w:rPr>
  </w:style>
  <w:style w:type="character" w:customStyle="1" w:styleId="77">
    <w:name w:val="标题 3 Char"/>
    <w:basedOn w:val="34"/>
    <w:link w:val="4"/>
    <w:qFormat/>
    <w:uiPriority w:val="9"/>
    <w:rPr>
      <w:rFonts w:asciiTheme="majorHAnsi" w:hAnsiTheme="majorHAnsi" w:eastAsiaTheme="majorEastAsia" w:cstheme="majorBidi"/>
      <w:b/>
      <w:bCs/>
      <w:color w:val="4F81BD" w:themeColor="accent1"/>
    </w:rPr>
  </w:style>
  <w:style w:type="character" w:customStyle="1" w:styleId="78">
    <w:name w:val="标题 4 Char"/>
    <w:basedOn w:val="34"/>
    <w:link w:val="5"/>
    <w:qFormat/>
    <w:uiPriority w:val="9"/>
    <w:rPr>
      <w:rFonts w:asciiTheme="majorHAnsi" w:hAnsiTheme="majorHAnsi" w:eastAsiaTheme="majorEastAsia" w:cstheme="majorBidi"/>
      <w:b/>
      <w:bCs/>
      <w:i/>
      <w:iCs/>
      <w:color w:val="4F81BD" w:themeColor="accent1"/>
    </w:rPr>
  </w:style>
  <w:style w:type="character" w:customStyle="1" w:styleId="79">
    <w:name w:val="标题 5 Char"/>
    <w:basedOn w:val="34"/>
    <w:link w:val="6"/>
    <w:qFormat/>
    <w:uiPriority w:val="9"/>
    <w:rPr>
      <w:rFonts w:asciiTheme="majorHAnsi" w:hAnsiTheme="majorHAnsi" w:eastAsiaTheme="majorEastAsia" w:cstheme="majorBidi"/>
      <w:color w:val="243F61" w:themeColor="accent1" w:themeShade="7F"/>
    </w:rPr>
  </w:style>
  <w:style w:type="character" w:customStyle="1" w:styleId="80">
    <w:name w:val="标题 6 Char"/>
    <w:basedOn w:val="34"/>
    <w:link w:val="7"/>
    <w:qFormat/>
    <w:uiPriority w:val="9"/>
    <w:rPr>
      <w:rFonts w:asciiTheme="majorHAnsi" w:hAnsiTheme="majorHAnsi" w:eastAsiaTheme="majorEastAsia" w:cstheme="majorBidi"/>
      <w:i/>
      <w:iCs/>
      <w:color w:val="243F61" w:themeColor="accent1" w:themeShade="7F"/>
    </w:rPr>
  </w:style>
  <w:style w:type="character" w:customStyle="1" w:styleId="81">
    <w:name w:val="标题 7 Char"/>
    <w:basedOn w:val="34"/>
    <w:link w:val="8"/>
    <w:qFormat/>
    <w:uiPriority w:val="9"/>
    <w:rPr>
      <w:rFonts w:asciiTheme="majorHAnsi" w:hAnsiTheme="majorHAnsi" w:eastAsiaTheme="majorEastAsia" w:cstheme="majorBidi"/>
      <w:i/>
      <w:iCs/>
      <w:color w:val="3F3F3F" w:themeColor="text1" w:themeTint="BF"/>
    </w:rPr>
  </w:style>
  <w:style w:type="character" w:customStyle="1" w:styleId="82">
    <w:name w:val="标题 8 Char"/>
    <w:basedOn w:val="34"/>
    <w:link w:val="9"/>
    <w:qFormat/>
    <w:uiPriority w:val="9"/>
    <w:rPr>
      <w:rFonts w:asciiTheme="majorHAnsi" w:hAnsiTheme="majorHAnsi" w:eastAsiaTheme="majorEastAsia" w:cstheme="majorBidi"/>
      <w:color w:val="4F81BD" w:themeColor="accent1"/>
      <w:sz w:val="20"/>
      <w:szCs w:val="20"/>
    </w:rPr>
  </w:style>
  <w:style w:type="character" w:customStyle="1" w:styleId="83">
    <w:name w:val="标题 9 Char"/>
    <w:basedOn w:val="34"/>
    <w:link w:val="10"/>
    <w:qFormat/>
    <w:uiPriority w:val="9"/>
    <w:rPr>
      <w:rFonts w:asciiTheme="majorHAnsi" w:hAnsiTheme="majorHAnsi" w:eastAsiaTheme="majorEastAsia" w:cstheme="majorBidi"/>
      <w:i/>
      <w:iCs/>
      <w:color w:val="3F3F3F" w:themeColor="text1" w:themeTint="BF"/>
      <w:sz w:val="20"/>
      <w:szCs w:val="20"/>
    </w:rPr>
  </w:style>
  <w:style w:type="character" w:customStyle="1" w:styleId="84">
    <w:name w:val="标题 Char"/>
    <w:basedOn w:val="34"/>
    <w:link w:val="30"/>
    <w:qFormat/>
    <w:uiPriority w:val="10"/>
    <w:rPr>
      <w:rFonts w:asciiTheme="majorHAnsi" w:hAnsiTheme="majorHAnsi" w:eastAsiaTheme="majorEastAsia" w:cstheme="majorBidi"/>
      <w:color w:val="17365D" w:themeColor="text2" w:themeShade="BF"/>
      <w:spacing w:val="5"/>
      <w:kern w:val="28"/>
      <w:sz w:val="52"/>
      <w:szCs w:val="52"/>
    </w:rPr>
  </w:style>
  <w:style w:type="character" w:customStyle="1" w:styleId="85">
    <w:name w:val="副标题 Char"/>
    <w:basedOn w:val="34"/>
    <w:link w:val="25"/>
    <w:qFormat/>
    <w:uiPriority w:val="11"/>
    <w:rPr>
      <w:rFonts w:asciiTheme="majorHAnsi" w:hAnsiTheme="majorHAnsi" w:eastAsiaTheme="majorEastAsia" w:cstheme="majorBidi"/>
      <w:i/>
      <w:iCs/>
      <w:color w:val="4F81BD" w:themeColor="accent1"/>
      <w:spacing w:val="15"/>
      <w:sz w:val="24"/>
      <w:szCs w:val="24"/>
    </w:rPr>
  </w:style>
  <w:style w:type="paragraph" w:styleId="86">
    <w:name w:val="Quote"/>
    <w:basedOn w:val="1"/>
    <w:next w:val="1"/>
    <w:link w:val="87"/>
    <w:qFormat/>
    <w:uiPriority w:val="29"/>
    <w:rPr>
      <w:i/>
      <w:iCs/>
      <w:color w:val="000000" w:themeColor="text1"/>
    </w:rPr>
  </w:style>
  <w:style w:type="character" w:customStyle="1" w:styleId="87">
    <w:name w:val="引用 Char"/>
    <w:basedOn w:val="34"/>
    <w:link w:val="86"/>
    <w:qFormat/>
    <w:uiPriority w:val="29"/>
    <w:rPr>
      <w:i/>
      <w:iCs/>
      <w:color w:val="000000" w:themeColor="text1"/>
    </w:rPr>
  </w:style>
  <w:style w:type="paragraph" w:styleId="88">
    <w:name w:val="Intense Quote"/>
    <w:basedOn w:val="1"/>
    <w:next w:val="1"/>
    <w:link w:val="89"/>
    <w:qFormat/>
    <w:uiPriority w:val="30"/>
    <w:pPr>
      <w:pBdr>
        <w:bottom w:val="single" w:color="4F81BD" w:themeColor="accent1" w:sz="4" w:space="4"/>
      </w:pBdr>
      <w:spacing w:before="200" w:after="280"/>
      <w:ind w:left="936" w:right="936"/>
    </w:pPr>
    <w:rPr>
      <w:b/>
      <w:bCs/>
      <w:i/>
      <w:iCs/>
      <w:color w:val="4F81BD" w:themeColor="accent1"/>
    </w:rPr>
  </w:style>
  <w:style w:type="character" w:customStyle="1" w:styleId="89">
    <w:name w:val="明显引用 Char"/>
    <w:basedOn w:val="34"/>
    <w:link w:val="88"/>
    <w:qFormat/>
    <w:uiPriority w:val="30"/>
    <w:rPr>
      <w:b/>
      <w:bCs/>
      <w:i/>
      <w:iCs/>
      <w:color w:val="4F81BD" w:themeColor="accent1"/>
    </w:rPr>
  </w:style>
  <w:style w:type="character" w:customStyle="1" w:styleId="90">
    <w:name w:val="不明显强调1"/>
    <w:basedOn w:val="34"/>
    <w:qFormat/>
    <w:uiPriority w:val="19"/>
    <w:rPr>
      <w:i/>
      <w:iCs/>
      <w:color w:val="7F7F7F" w:themeColor="text1" w:themeTint="7F"/>
    </w:rPr>
  </w:style>
  <w:style w:type="character" w:customStyle="1" w:styleId="91">
    <w:name w:val="明显强调1"/>
    <w:basedOn w:val="34"/>
    <w:qFormat/>
    <w:uiPriority w:val="21"/>
    <w:rPr>
      <w:b/>
      <w:bCs/>
      <w:i/>
      <w:iCs/>
      <w:color w:val="4F81BD" w:themeColor="accent1"/>
    </w:rPr>
  </w:style>
  <w:style w:type="character" w:customStyle="1" w:styleId="92">
    <w:name w:val="不明显参考1"/>
    <w:basedOn w:val="34"/>
    <w:qFormat/>
    <w:uiPriority w:val="31"/>
    <w:rPr>
      <w:smallCaps/>
      <w:color w:val="C0504D" w:themeColor="accent2"/>
      <w:u w:val="single"/>
    </w:rPr>
  </w:style>
  <w:style w:type="character" w:customStyle="1" w:styleId="93">
    <w:name w:val="明显参考1"/>
    <w:basedOn w:val="34"/>
    <w:qFormat/>
    <w:uiPriority w:val="32"/>
    <w:rPr>
      <w:b/>
      <w:bCs/>
      <w:smallCaps/>
      <w:color w:val="C0504D" w:themeColor="accent2"/>
      <w:spacing w:val="5"/>
      <w:u w:val="single"/>
    </w:rPr>
  </w:style>
  <w:style w:type="character" w:customStyle="1" w:styleId="94">
    <w:name w:val="书籍标题1"/>
    <w:basedOn w:val="34"/>
    <w:qFormat/>
    <w:uiPriority w:val="33"/>
    <w:rPr>
      <w:b/>
      <w:bCs/>
      <w:smallCaps/>
      <w:spacing w:val="5"/>
    </w:rPr>
  </w:style>
  <w:style w:type="paragraph" w:customStyle="1" w:styleId="95">
    <w:name w:val="Normal_18"/>
    <w:qFormat/>
    <w:uiPriority w:val="0"/>
    <w:pPr>
      <w:spacing w:before="120" w:after="240"/>
      <w:jc w:val="both"/>
    </w:pPr>
    <w:rPr>
      <w:rFonts w:ascii="Calibri" w:hAnsi="Calibri" w:eastAsia="Calibri" w:cs="Times New Roman"/>
      <w:sz w:val="22"/>
      <w:szCs w:val="22"/>
      <w:lang w:val="ru-RU" w:eastAsia="en-US" w:bidi="ar-SA"/>
    </w:rPr>
  </w:style>
  <w:style w:type="paragraph" w:customStyle="1" w:styleId="96">
    <w:name w:val="Normal_20"/>
    <w:qFormat/>
    <w:uiPriority w:val="0"/>
    <w:pPr>
      <w:spacing w:before="120" w:after="240"/>
      <w:jc w:val="both"/>
    </w:pPr>
    <w:rPr>
      <w:rFonts w:ascii="Calibri" w:hAnsi="Calibri" w:eastAsia="Calibri" w:cs="Times New Roman"/>
      <w:sz w:val="22"/>
      <w:szCs w:val="22"/>
      <w:lang w:val="ru-RU" w:eastAsia="en-US" w:bidi="ar-SA"/>
    </w:rPr>
  </w:style>
  <w:style w:type="paragraph" w:customStyle="1" w:styleId="97">
    <w:name w:val="Normal_21"/>
    <w:qFormat/>
    <w:uiPriority w:val="0"/>
    <w:pPr>
      <w:spacing w:before="120" w:after="240"/>
      <w:jc w:val="both"/>
    </w:pPr>
    <w:rPr>
      <w:rFonts w:ascii="Calibri" w:hAnsi="Calibri" w:eastAsia="Calibri" w:cs="Times New Roman"/>
      <w:sz w:val="22"/>
      <w:szCs w:val="22"/>
      <w:lang w:val="ru-RU" w:eastAsia="en-US" w:bidi="ar-SA"/>
    </w:rPr>
  </w:style>
  <w:style w:type="paragraph" w:customStyle="1" w:styleId="98">
    <w:name w:val="Default"/>
    <w:qFormat/>
    <w:uiPriority w:val="0"/>
    <w:pPr>
      <w:widowControl w:val="0"/>
      <w:autoSpaceDE w:val="0"/>
      <w:autoSpaceDN w:val="0"/>
      <w:adjustRightInd w:val="0"/>
    </w:pPr>
    <w:rPr>
      <w:rFonts w:ascii="仿宋" w:eastAsia="仿宋" w:cs="仿宋" w:hAnsiTheme="minorHAnsi"/>
      <w:color w:val="000000"/>
      <w:sz w:val="24"/>
      <w:szCs w:val="24"/>
      <w:lang w:val="en-US" w:eastAsia="zh-CN" w:bidi="ar-SA"/>
    </w:rPr>
  </w:style>
  <w:style w:type="paragraph" w:customStyle="1" w:styleId="99">
    <w:name w:val="Table Text"/>
    <w:basedOn w:val="1"/>
    <w:semiHidden/>
    <w:qFormat/>
    <w:uiPriority w:val="0"/>
    <w:pPr>
      <w:kinsoku w:val="0"/>
      <w:autoSpaceDE w:val="0"/>
      <w:autoSpaceDN w:val="0"/>
      <w:adjustRightInd w:val="0"/>
      <w:snapToGrid w:val="0"/>
      <w:spacing w:after="0"/>
      <w:textAlignment w:val="baseline"/>
    </w:pPr>
    <w:rPr>
      <w:rFonts w:ascii="宋体" w:hAnsi="宋体" w:eastAsia="宋体" w:cs="宋体"/>
      <w:snapToGrid w:val="0"/>
      <w:color w:val="000000"/>
      <w:sz w:val="24"/>
      <w:szCs w:val="24"/>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3.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hpExts>
    <customShpInfo spid="_x0000_s106499"/>
    <customShpInfo spid="_x0000_s106498"/>
    <customShpInfo spid="_x0000_s106497"/>
    <customShpInfo spid="_x0000_s1029"/>
    <customShpInfo spid="_x0000_s1030"/>
    <customShpInfo spid="_x0000_s1031"/>
    <customShpInfo spid="_x0000_s1034"/>
    <customShpInfo spid="_x0000_s1043"/>
    <customShpInfo spid="_x0000_s1044"/>
    <customShpInfo spid="_x0000_s1036"/>
    <customShpInfo spid="_x0000_s1037"/>
    <customShpInfo spid="_x0000_s1045"/>
    <customShpInfo spid="_x0000_s1035"/>
    <customShpInfo spid="_x0000_s1033"/>
    <customShpInfo spid="_x0000_s1032"/>
    <customShpInfo spid="_x0000_s1038"/>
    <customShpInfo spid="_x0000_s1039"/>
    <customShpInfo spid="_x0000_s1040"/>
    <customShpInfo spid="_x0000_s1041"/>
    <customShpInfo spid="_x0000_s1042"/>
  </customShpExts>
</s:customData>
</file>

<file path=customXml/item2.xml><?xml version="1.0" encoding="utf-8"?>
<b:Sources xmlns:b="http://schemas.openxmlformats.org/officeDocument/2006/bibliography" xmlns="http://schemas.openxmlformats.org/officeDocument/2006/bibliography" SelectedStyle="\GostTitle.XSL" StyleName="GOST - Title Sort"/>
</file>

<file path=customXml/item3.xml><?xml version="1.0" encoding="utf-8"?>
<CoverPageProperties xmlns="http://schemas.microsoft.com/office/2006/coverPageProps">
  <PublishDate/>
  <Abstract>发布日期：2025年03月30日    修改日期：2026年04月08日    实施日期：2025年03月30日   </Abstract>
  <CompanyAddress/>
  <CompanyPhone/>
  <CompanyFax/>
  <CompanyEmail/>
</CoverPage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93AE474-BD5D-46A8-8F7E-15D9FBCC139C}">
  <ds:schemaRefs/>
</ds:datastoreItem>
</file>

<file path=customXml/itemProps3.xml><?xml version="1.0" encoding="utf-8"?>
<ds:datastoreItem xmlns:ds="http://schemas.openxmlformats.org/officeDocument/2006/customXml" ds:itemID="{55AF091B-3C7A-41E3-B477-F2FDAA23CFDA}">
  <ds:schemaRefs/>
</ds:datastoreItem>
</file>

<file path=docProps/app.xml><?xml version="1.0" encoding="utf-8"?>
<Properties xmlns="http://schemas.openxmlformats.org/officeDocument/2006/extended-properties" xmlns:vt="http://schemas.openxmlformats.org/officeDocument/2006/docPropsVTypes">
  <Template>Normal</Template>
  <Company>                       S &amp; P International Certification (Shenzhen) Co., LTD</Company>
  <Pages>24</Pages>
  <Words>13308</Words>
  <Characters>14554</Characters>
  <Lines>141</Lines>
  <Paragraphs>39</Paragraphs>
  <TotalTime>966</TotalTime>
  <ScaleCrop>false</ScaleCrop>
  <LinksUpToDate>false</LinksUpToDate>
  <CharactersWithSpaces>14944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2025-06-10T02:36:00Z</dcterms:created>
  <dc:creator>Dell</dc:creator>
  <cp:lastModifiedBy>红楼梦</cp:lastModifiedBy>
  <dcterms:modified xsi:type="dcterms:W3CDTF">2026-04-22T09:36:34Z</dcterms:modified>
  <dc:subject>S&amp;P-XZ-79-2025</dc:subject>
  <dc:title>有害物质过程管理体系认证实施规则</dc:title>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76CE1AC885734526A19BA65CA3D0AB87</vt:lpwstr>
  </property>
  <property fmtid="{D5CDD505-2E9C-101B-9397-08002B2CF9AE}" pid="4" name="KSOTemplateDocerSaveRecord">
    <vt:lpwstr>eyJoZGlkIjoiNDc2OTY2MTQ4MTk1OGE2ZWU2YWQ2MzRmMzBkNmRkODYiLCJ1c2VySWQiOiIzNTUwNzc2MDYifQ==</vt:lpwstr>
  </property>
</Properties>
</file>